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36"/>
              </w:rPr>
              <w:t xml:space="preserve">Постановление Правительства РФ от 28.07.2021 N 1268</w:t>
              <w:br/>
              <w:t xml:space="preserve">(ред. от 26.07.2023)</w:t>
              <w:br/>
              <w:t xml:space="preserve">"О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br/>
              <w:t xml:space="preserve">(вместе с "Положением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"Правилами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24.10.2023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28 июля 2021 г. N 1268</w:t>
      </w:r>
    </w:p>
    <w:p>
      <w:pPr>
        <w:pStyle w:val="2"/>
        <w:jc w:val="center"/>
      </w:pPr>
      <w:r>
        <w:rPr>
          <w:sz w:val="20"/>
        </w:rPr>
      </w:r>
    </w:p>
    <w:p>
      <w:pPr>
        <w:pStyle w:val="2"/>
        <w:jc w:val="center"/>
      </w:pPr>
      <w:r>
        <w:rPr>
          <w:sz w:val="20"/>
        </w:rPr>
        <w:t xml:space="preserve">О РЕАЛИЗАЦИИ</w:t>
      </w:r>
    </w:p>
    <w:p>
      <w:pPr>
        <w:pStyle w:val="2"/>
        <w:jc w:val="center"/>
      </w:pPr>
      <w:r>
        <w:rPr>
          <w:sz w:val="20"/>
        </w:rPr>
        <w:t xml:space="preserve">ПРОЕКТА ПО СОЗДАНИЮ ИННОВАЦИОННОЙ ОБРАЗОВАТЕЛЬНОЙ СРЕДЫ</w:t>
      </w:r>
    </w:p>
    <w:p>
      <w:pPr>
        <w:pStyle w:val="2"/>
        <w:jc w:val="center"/>
      </w:pPr>
      <w:r>
        <w:rPr>
          <w:sz w:val="20"/>
        </w:rPr>
        <w:t xml:space="preserve">(КАМПУСОВ) С ПРИМЕНЕНИЕМ МЕХАНИЗМА КОНЦЕССИОННЫХ СОГЛАШЕНИЙ</w:t>
      </w:r>
    </w:p>
    <w:p>
      <w:pPr>
        <w:pStyle w:val="2"/>
        <w:jc w:val="center"/>
      </w:pPr>
      <w:r>
        <w:rPr>
          <w:sz w:val="20"/>
        </w:rPr>
        <w:t xml:space="preserve">В РАМКАХ ФЕДЕРАЛЬНОГО ПРОЕКТА "СОЗДАНИЕ СЕТИ СОВРЕМЕННЫХ</w:t>
      </w:r>
    </w:p>
    <w:p>
      <w:pPr>
        <w:pStyle w:val="2"/>
        <w:jc w:val="center"/>
      </w:pPr>
      <w:r>
        <w:rPr>
          <w:sz w:val="20"/>
        </w:rPr>
        <w:t xml:space="preserve">КАМПУСОВ" НАЦИОНАЛЬНОГО ПРОЕКТА</w:t>
      </w:r>
    </w:p>
    <w:p>
      <w:pPr>
        <w:pStyle w:val="2"/>
        <w:jc w:val="center"/>
      </w:pPr>
      <w:r>
        <w:rPr>
          <w:sz w:val="20"/>
        </w:rPr>
        <w:t xml:space="preserve">"НАУКА И УНИВЕРСИТЕТЫ"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color w:val="392c69"/>
              </w:rPr>
              <w:t xml:space="preserve"> Правительства РФ от 26.07.2023 N 1213)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Правительство Российской Федерации постановляет:</w:t>
      </w:r>
    </w:p>
    <w:p>
      <w:pPr>
        <w:pStyle w:val="0"/>
        <w:spacing w:before="200" w:line-rule="auto"/>
        <w:ind w:firstLine="540"/>
        <w:jc w:val="both"/>
      </w:pPr>
      <w:r>
        <w:rPr>
          <w:sz w:val="20"/>
        </w:rPr>
        <w:t xml:space="preserve">1. Утвердить прилагаемые:</w:t>
      </w:r>
    </w:p>
    <w:p>
      <w:pPr>
        <w:pStyle w:val="0"/>
        <w:spacing w:before="200" w:line-rule="auto"/>
        <w:ind w:firstLine="540"/>
        <w:jc w:val="both"/>
      </w:pPr>
      <w:hyperlink w:history="0" w:anchor="P46" w:tooltip="ПОЛОЖЕНИЕ">
        <w:r>
          <w:rPr>
            <w:sz w:val="20"/>
            <w:color w:val="0000ff"/>
          </w:rPr>
          <w:t xml:space="preserve">Положение</w:t>
        </w:r>
      </w:hyperlink>
      <w:r>
        <w:rPr>
          <w:sz w:val="20"/>
        </w:rPr>
        <w:t xml:space="preserve">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jc w:val="both"/>
      </w:pPr>
      <w:r>
        <w:rPr>
          <w:sz w:val="20"/>
        </w:rPr>
        <w:t xml:space="preserve">(в ред. </w:t>
      </w:r>
      <w:hyperlink w:history="0" r:id="rId8"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hyperlink w:history="0" w:anchor="P297" w:tooltip="ПРАВИЛА">
        <w:r>
          <w:rPr>
            <w:sz w:val="20"/>
            <w:color w:val="0000ff"/>
          </w:rPr>
          <w:t xml:space="preserve">Правила</w:t>
        </w:r>
      </w:hyperlink>
      <w:r>
        <w:rPr>
          <w:sz w:val="20"/>
        </w:rPr>
        <w:t xml:space="preserve">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w:t>
      </w:r>
    </w:p>
    <w:p>
      <w:pPr>
        <w:pStyle w:val="0"/>
        <w:spacing w:before="200" w:line-rule="auto"/>
        <w:ind w:firstLine="540"/>
        <w:jc w:val="both"/>
      </w:pPr>
      <w:hyperlink w:history="0" w:anchor="P427" w:tooltip="ПЕРЕЧЕНЬ">
        <w:r>
          <w:rPr>
            <w:sz w:val="20"/>
            <w:color w:val="0000ff"/>
          </w:rPr>
          <w:t xml:space="preserve">перечень</w:t>
        </w:r>
      </w:hyperlink>
      <w:r>
        <w:rPr>
          <w:sz w:val="20"/>
        </w:rPr>
        <w:t xml:space="preserve"> функций агента Правительства Российской Федерации, осуществляемых государственной корпорацией развития "ВЭБ.РФ" по вопросам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jc w:val="both"/>
      </w:pPr>
      <w:r>
        <w:rPr>
          <w:sz w:val="20"/>
        </w:rPr>
        <w:t xml:space="preserve">(в ред. </w:t>
      </w:r>
      <w:hyperlink w:history="0" r:id="rId9"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2. Министерству науки и высшего образования Российской Федерации по согласованию с Министерством строительства и жилищно-коммунального хозяйства Российской Федерации в 2-месячный срок утвердить </w:t>
      </w:r>
      <w:hyperlink w:history="0" r:id="rId10" w:tooltip="Приказ Минобрнауки России от 01.10.2021 N 906 &quot;Об утверждении Порядка определения инвестиционных проектов, реализация которых осуществляется в соответствии с Положением о реализации проекта по созданию инновационной образовательной среды (кампусов) с применением механизмов государственно-частного партнерства и концессионных соглашений в рамках федерального проекта &quot;Развитие инфраструктуры для научных исследований и подготовки кадров&quot; национального проекта &quot;Наука и университеты&quot;, утвержденным постановлением  {КонсультантПлюс}">
        <w:r>
          <w:rPr>
            <w:sz w:val="20"/>
            <w:color w:val="0000ff"/>
          </w:rPr>
          <w:t xml:space="preserve">порядок</w:t>
        </w:r>
      </w:hyperlink>
      <w:r>
        <w:rPr>
          <w:sz w:val="20"/>
        </w:rPr>
        <w:t xml:space="preserve"> определения инвестиционных проектов, реализация которых осуществляется в соответствии с </w:t>
      </w:r>
      <w:hyperlink w:history="0" w:anchor="P46" w:tooltip="ПОЛОЖЕНИЕ">
        <w:r>
          <w:rPr>
            <w:sz w:val="20"/>
            <w:color w:val="0000ff"/>
          </w:rPr>
          <w:t xml:space="preserve">Положением</w:t>
        </w:r>
      </w:hyperlink>
      <w:r>
        <w:rPr>
          <w:sz w:val="20"/>
        </w:rPr>
        <w:t xml:space="preserve">, утвержденным настоящим постановлением.</w:t>
      </w:r>
    </w:p>
    <w:p>
      <w:pPr>
        <w:pStyle w:val="0"/>
        <w:spacing w:before="200" w:line-rule="auto"/>
        <w:ind w:firstLine="540"/>
        <w:jc w:val="both"/>
      </w:pPr>
      <w:r>
        <w:rPr>
          <w:sz w:val="20"/>
        </w:rPr>
        <w:t xml:space="preserve">3. Установить, что в 2021 году отбор субъектов Российской Федерации для предоставления в 2022 году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 в рамках региональных проектов, обеспечивающих достижение целей, показателей и результатов федерального проекта "Развитие инфраструктуры для научных исследований и подготовки кадров" национального проекта "Наука и университеты", осуществляется не позднее 1 октября 2021 г.</w:t>
      </w:r>
    </w:p>
    <w:p>
      <w:pPr>
        <w:pStyle w:val="0"/>
        <w:spacing w:before="200" w:line-rule="auto"/>
        <w:ind w:firstLine="540"/>
        <w:jc w:val="both"/>
      </w:pPr>
      <w:r>
        <w:rPr>
          <w:sz w:val="20"/>
        </w:rPr>
        <w:t xml:space="preserve">4. Согласиться с предложением Министерства науки и высшего образования Российской Федерации и государственной корпорации развития "ВЭБ.РФ" об осуществлении государственной корпорацией развития "ВЭБ.РФ" функций агента Правительства Российской Федерации по вопросам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(далее - проект) с выплатой вознаграждения за выполнение указанных функций в порядке, установленном законодательством Российской Федерации, и в пределах бюджетных ассигнований, предусматриваемых в федеральном бюджете Министерству науки и высшего образования Российской Федерации на соответствующий финансовый год на выполнение функций агента Правительства Российской Федерации.</w:t>
      </w:r>
    </w:p>
    <w:p>
      <w:pPr>
        <w:pStyle w:val="0"/>
        <w:jc w:val="both"/>
      </w:pPr>
      <w:r>
        <w:rPr>
          <w:sz w:val="20"/>
        </w:rPr>
        <w:t xml:space="preserve">(в ред. </w:t>
      </w:r>
      <w:hyperlink w:history="0" r:id="rId11"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5. Министерству науки и высшего образования Российской Федерации:</w:t>
      </w:r>
    </w:p>
    <w:p>
      <w:pPr>
        <w:pStyle w:val="0"/>
        <w:spacing w:before="200" w:line-rule="auto"/>
        <w:ind w:firstLine="540"/>
        <w:jc w:val="both"/>
      </w:pPr>
      <w:r>
        <w:rPr>
          <w:sz w:val="20"/>
        </w:rPr>
        <w:t xml:space="preserve">а) заключить от имени Правительства Российской Федерации с государственной корпорацией развития "ВЭБ.РФ" соглашение о выполнении функций агента Правительства Российской Федерации, указанных в </w:t>
      </w:r>
      <w:hyperlink w:history="0" w:anchor="P427" w:tooltip="ПЕРЕЧЕНЬ">
        <w:r>
          <w:rPr>
            <w:sz w:val="20"/>
            <w:color w:val="0000ff"/>
          </w:rPr>
          <w:t xml:space="preserve">перечне</w:t>
        </w:r>
      </w:hyperlink>
      <w:r>
        <w:rPr>
          <w:sz w:val="20"/>
        </w:rPr>
        <w:t xml:space="preserve">, утвержденном настоящим постановлением;</w:t>
      </w:r>
    </w:p>
    <w:p>
      <w:pPr>
        <w:pStyle w:val="0"/>
        <w:spacing w:before="200" w:line-rule="auto"/>
        <w:ind w:firstLine="540"/>
        <w:jc w:val="both"/>
      </w:pPr>
      <w:r>
        <w:rPr>
          <w:sz w:val="20"/>
        </w:rPr>
        <w:t xml:space="preserve">б) при формировании проекта федерального закона о федеральном бюджете на очередной финансовый год и плановый период предусматривать бюджетные ассигнования на выплату государственной корпорации развития "ВЭБ.РФ" вознаграждения за выполнение функций агента Правительства Российской Федерации по вопросам реализации проекта.</w:t>
      </w:r>
    </w:p>
    <w:p>
      <w:pPr>
        <w:pStyle w:val="0"/>
        <w:spacing w:before="200" w:line-rule="auto"/>
        <w:ind w:firstLine="540"/>
        <w:jc w:val="both"/>
      </w:pPr>
      <w:r>
        <w:rPr>
          <w:sz w:val="20"/>
        </w:rPr>
        <w:t xml:space="preserve">6. Рекомендовать субъектам Российской Федерации привлекать публично-правовую компанию "Единый заказчик в сфере строительства" в качестве юридического лица, уполномоченного осуществлять отдельные права и обязанности концедента.</w:t>
      </w:r>
    </w:p>
    <w:p>
      <w:pPr>
        <w:pStyle w:val="0"/>
        <w:jc w:val="both"/>
      </w:pPr>
      <w:r>
        <w:rPr>
          <w:sz w:val="20"/>
        </w:rPr>
        <w:t xml:space="preserve">(п. 6 в ред. </w:t>
      </w:r>
      <w:hyperlink w:history="0" r:id="rId12"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7.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Председатель Правительства</w:t>
      </w:r>
    </w:p>
    <w:p>
      <w:pPr>
        <w:pStyle w:val="0"/>
        <w:jc w:val="right"/>
      </w:pPr>
      <w:r>
        <w:rPr>
          <w:sz w:val="20"/>
        </w:rPr>
        <w:t xml:space="preserve">Российской Федерации</w:t>
      </w:r>
    </w:p>
    <w:p>
      <w:pPr>
        <w:pStyle w:val="0"/>
        <w:jc w:val="right"/>
      </w:pPr>
      <w:r>
        <w:rPr>
          <w:sz w:val="20"/>
        </w:rPr>
        <w:t xml:space="preserve">М.МИШУСТИН</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Утверждено</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28 июля 2021 г. N 1268</w:t>
      </w:r>
    </w:p>
    <w:p>
      <w:pPr>
        <w:pStyle w:val="0"/>
        <w:jc w:val="both"/>
      </w:pPr>
      <w:r>
        <w:rPr>
          <w:sz w:val="20"/>
        </w:rPr>
      </w:r>
    </w:p>
    <w:bookmarkStart w:id="46" w:name="P46"/>
    <w:bookmarkEnd w:id="46"/>
    <w:p>
      <w:pPr>
        <w:pStyle w:val="2"/>
        <w:jc w:val="center"/>
      </w:pPr>
      <w:r>
        <w:rPr>
          <w:sz w:val="20"/>
        </w:rPr>
        <w:t xml:space="preserve">ПОЛОЖЕНИЕ</w:t>
      </w:r>
    </w:p>
    <w:p>
      <w:pPr>
        <w:pStyle w:val="2"/>
        <w:jc w:val="center"/>
      </w:pPr>
      <w:r>
        <w:rPr>
          <w:sz w:val="20"/>
        </w:rPr>
        <w:t xml:space="preserve">О РЕАЛИЗАЦИИ ПРОЕКТА ПО СОЗДАНИЮ ИННОВАЦИОННОЙ</w:t>
      </w:r>
    </w:p>
    <w:p>
      <w:pPr>
        <w:pStyle w:val="2"/>
        <w:jc w:val="center"/>
      </w:pPr>
      <w:r>
        <w:rPr>
          <w:sz w:val="20"/>
        </w:rPr>
        <w:t xml:space="preserve">ОБРАЗОВАТЕЛЬНОЙ СРЕДЫ (КАМПУСОВ) С ПРИМЕНЕНИЕМ МЕХАНИЗМА</w:t>
      </w:r>
    </w:p>
    <w:p>
      <w:pPr>
        <w:pStyle w:val="2"/>
        <w:jc w:val="center"/>
      </w:pPr>
      <w:r>
        <w:rPr>
          <w:sz w:val="20"/>
        </w:rPr>
        <w:t xml:space="preserve">КОНЦЕССИОННЫХ СОГЛАШЕНИЙ В РАМКАХ ФЕДЕРАЛЬНОГО ПРОЕКТА</w:t>
      </w:r>
    </w:p>
    <w:p>
      <w:pPr>
        <w:pStyle w:val="2"/>
        <w:jc w:val="center"/>
      </w:pPr>
      <w:r>
        <w:rPr>
          <w:sz w:val="20"/>
        </w:rPr>
        <w:t xml:space="preserve">"СОЗДАНИЕ СЕТИ СОВРЕМЕННЫХ КАМПУСОВ" НАЦИОНАЛЬНОГО</w:t>
      </w:r>
    </w:p>
    <w:p>
      <w:pPr>
        <w:pStyle w:val="2"/>
        <w:jc w:val="center"/>
      </w:pPr>
      <w:r>
        <w:rPr>
          <w:sz w:val="20"/>
        </w:rPr>
        <w:t xml:space="preserve">ПРОЕКТА "НАУКА И УНИВЕРСИТЕТЫ"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3"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color w:val="392c69"/>
              </w:rPr>
              <w:t xml:space="preserve"> Правительства РФ от 26.07.2023 N 1213)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Настоящее Положение устанавливает особенности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jc w:val="both"/>
      </w:pPr>
      <w:r>
        <w:rPr>
          <w:sz w:val="20"/>
        </w:rPr>
        <w:t xml:space="preserve">(в ред. </w:t>
      </w:r>
      <w:hyperlink w:history="0" r:id="rId14"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2. Понятия, используемые в настоящем Положении, означают следующее:</w:t>
      </w:r>
    </w:p>
    <w:p>
      <w:pPr>
        <w:pStyle w:val="0"/>
        <w:spacing w:before="200" w:line-rule="auto"/>
        <w:ind w:firstLine="540"/>
        <w:jc w:val="both"/>
      </w:pPr>
      <w:r>
        <w:rPr>
          <w:sz w:val="20"/>
        </w:rPr>
        <w:t xml:space="preserve">"инвестиционный проект" - ограниченный по времени и ресурсам комплекс мероприятий по созданию (строительству и (или) реконструкции) и использованию (эксплуатации) кампуса, реализуемых на основании соглашения в целях развития инфраструктуры образовательных организаций высшего образования и научных организаций, направленных в том числе на развитие социальной инфраструктуры муниципальных образований;</w:t>
      </w:r>
    </w:p>
    <w:p>
      <w:pPr>
        <w:pStyle w:val="0"/>
        <w:jc w:val="both"/>
      </w:pPr>
      <w:r>
        <w:rPr>
          <w:sz w:val="20"/>
        </w:rPr>
        <w:t xml:space="preserve">(в ред. </w:t>
      </w:r>
      <w:hyperlink w:history="0" r:id="rId15"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"кампус" - совокупность функционально связанных объектов недвижимого имущества и движимого имущества, технологически связанного с таким недвижимым имуществом и предназначенного для его эксплуатации, объединенных единым назначением по комплексному обеспечению образовательной, инновационной, научной, научно-технической деятельности, предназначенных в том числе для проживания и (или) размещения, медицинского обеспечения, отдыха и туризма, занятий физической культурой и спортом, организации питания, культурной деятельности, удовлетворения иных потребностей обучающихся, педагогических, научных и других работников образовательных организаций высшего образования и (или) научных организаций;</w:t>
      </w:r>
    </w:p>
    <w:p>
      <w:pPr>
        <w:pStyle w:val="0"/>
        <w:jc w:val="both"/>
      </w:pPr>
      <w:r>
        <w:rPr>
          <w:sz w:val="20"/>
        </w:rPr>
        <w:t xml:space="preserve">(в ред. </w:t>
      </w:r>
      <w:hyperlink w:history="0" r:id="rId16"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"капитальный грант" - часть расходов, принимаемых на себя концедентом в целях софинансирования расходов концессионера на создание (строительство и (или) реконструкцию) объекта (объектов) капитального строительства кампуса (далее - объект (объекты) кампуса) (без учета налога на добавленную стоимость в составе таких затрат) в соответствии с условиями соглашения до ввода объекта (объектов) кампуса в эксплуатацию;</w:t>
      </w:r>
    </w:p>
    <w:p>
      <w:pPr>
        <w:pStyle w:val="0"/>
        <w:jc w:val="both"/>
      </w:pPr>
      <w:r>
        <w:rPr>
          <w:sz w:val="20"/>
        </w:rPr>
        <w:t xml:space="preserve">(в ред. </w:t>
      </w:r>
      <w:hyperlink w:history="0" r:id="rId1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"плата концедента" - средства, предоставляемые концедентом концессионеру в целях возмещения расходов концессионера после ввода объекта (объектов) кампуса в эксплуатацию в размере, не превышающем разницу между объемом доходов концессионера, планируемых в соответствии с финансово-экономической моделью, обосновывающей условия соглашения, и объемом доходов, фактически полученных по данным бухгалтерской отчетности концессионера при осуществлении им деятельности, предусмотренной соглашением. При этом совокупный размер платы концедента не может превышать 80 процентов плановых расходов концессионера на использование (эксплуатацию) объекта соглашения и иного передаваемого концедентом концессионеру по соглашению имущества, а также расходов, обеспечивающих возврат инвестиций концессионера с учетом доходности инвестированного капитала;</w:t>
      </w:r>
    </w:p>
    <w:p>
      <w:pPr>
        <w:pStyle w:val="0"/>
        <w:jc w:val="both"/>
      </w:pPr>
      <w:r>
        <w:rPr>
          <w:sz w:val="20"/>
        </w:rPr>
        <w:t xml:space="preserve">(в ред. </w:t>
      </w:r>
      <w:hyperlink w:history="0" r:id="rId18"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"соглашение" - концессионное соглашение, заключаемое в соответствии с Федеральным </w:t>
      </w:r>
      <w:hyperlink w:history="0" r:id="rId19" w:tooltip="Федеральный закон от 21.07.2005 N 115-ФЗ (ред. от 10.07.2023) &quot;О концессионных соглашениях&quot; {КонсультантПлюс}">
        <w:r>
          <w:rPr>
            <w:sz w:val="20"/>
            <w:color w:val="0000ff"/>
          </w:rPr>
          <w:t xml:space="preserve">законом</w:t>
        </w:r>
      </w:hyperlink>
      <w:r>
        <w:rPr>
          <w:sz w:val="20"/>
        </w:rPr>
        <w:t xml:space="preserve"> "О концессионных соглашениях".</w:t>
      </w:r>
    </w:p>
    <w:p>
      <w:pPr>
        <w:pStyle w:val="0"/>
        <w:jc w:val="both"/>
      </w:pPr>
      <w:r>
        <w:rPr>
          <w:sz w:val="20"/>
        </w:rPr>
        <w:t xml:space="preserve">(в ред. </w:t>
      </w:r>
      <w:hyperlink w:history="0" r:id="rId20"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3. Определение инвестиционных проектов осуществляется Министерством науки и высшего образования Российской Федерации в порядке, установленном Министерством науки и высшего образования Российской Федерации по согласованию с Министерством строительства и жилищно-коммунального хозяйства Российской Федерации, в соответствии с требованиями, установленными </w:t>
      </w:r>
      <w:hyperlink w:history="0" w:anchor="P77" w:tooltip="5. Инвестиционный проект должен соответствовать следующим требованиям:">
        <w:r>
          <w:rPr>
            <w:sz w:val="20"/>
            <w:color w:val="0000ff"/>
          </w:rPr>
          <w:t xml:space="preserve">пунктом 5</w:t>
        </w:r>
      </w:hyperlink>
      <w:r>
        <w:rPr>
          <w:sz w:val="20"/>
        </w:rPr>
        <w:t xml:space="preserve"> настоящего Положения, с учетом </w:t>
      </w:r>
      <w:hyperlink w:history="0" w:anchor="P82" w:tooltip="5(1). В случае реализации инвестиционного проекта на территории города федерального значения, федеральной территории, геостратегической территории Российской Федерации, территории опережающего развития, на территории особой экономической зоны требования, предусмотренные пунктом 5 настоящего Положения, не применяются.">
        <w:r>
          <w:rPr>
            <w:sz w:val="20"/>
            <w:color w:val="0000ff"/>
          </w:rPr>
          <w:t xml:space="preserve">пункта 5(1)</w:t>
        </w:r>
      </w:hyperlink>
      <w:r>
        <w:rPr>
          <w:sz w:val="20"/>
        </w:rPr>
        <w:t xml:space="preserve"> настоящего Положения.</w:t>
      </w:r>
    </w:p>
    <w:p>
      <w:pPr>
        <w:pStyle w:val="0"/>
        <w:jc w:val="both"/>
      </w:pPr>
      <w:r>
        <w:rPr>
          <w:sz w:val="20"/>
        </w:rPr>
        <w:t xml:space="preserve">(в ред. </w:t>
      </w:r>
      <w:hyperlink w:history="0" r:id="rId21"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4. Финансовое обеспечение (софинансирование) реализации инвестиционного проекта за счет средств федерального бюджета осуществляется:</w:t>
      </w:r>
    </w:p>
    <w:bookmarkStart w:id="71" w:name="P71"/>
    <w:bookmarkEnd w:id="71"/>
    <w:p>
      <w:pPr>
        <w:pStyle w:val="0"/>
        <w:spacing w:before="200" w:line-rule="auto"/>
        <w:ind w:firstLine="540"/>
        <w:jc w:val="both"/>
      </w:pPr>
      <w:r>
        <w:rPr>
          <w:sz w:val="20"/>
        </w:rPr>
        <w:t xml:space="preserve">а) в случае заключения соглашения органом государственной власти субъекта Российской Федерации - путем предоставления иного межбюджетного трансферта бюджету субъекта Российской Федерации в соответствии с </w:t>
      </w:r>
      <w:hyperlink w:history="0" w:anchor="P297" w:tooltip="ПРАВИЛА">
        <w:r>
          <w:rPr>
            <w:sz w:val="20"/>
            <w:color w:val="0000ff"/>
          </w:rPr>
          <w:t xml:space="preserve">Правилами</w:t>
        </w:r>
      </w:hyperlink>
      <w:r>
        <w:rPr>
          <w:sz w:val="20"/>
        </w:rPr>
        <w:t xml:space="preserve">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 утвержденными постановлением Правительства Российской Федерации от 28 июля 2021 г. N 1268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jc w:val="both"/>
      </w:pPr>
      <w:r>
        <w:rPr>
          <w:sz w:val="20"/>
        </w:rPr>
        <w:t xml:space="preserve">(в ред. </w:t>
      </w:r>
      <w:hyperlink w:history="0" r:id="rId22"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б) в случае заключения соглашения уполномоченным Правительством Российской Федерации федеральным органом исполнительной власти - путем предоставления из федерального бюджета в соответствии с </w:t>
      </w:r>
      <w:hyperlink w:history="0" r:id="rId23" w:tooltip="&quot;Бюджетный кодекс Российской Федерации&quot; от 31.07.1998 N 145-ФЗ (ред. от 04.08.2023) (с изм. и доп., вступ. в силу с 01.09.2023) {КонсультантПлюс}">
        <w:r>
          <w:rPr>
            <w:sz w:val="20"/>
            <w:color w:val="0000ff"/>
          </w:rPr>
          <w:t xml:space="preserve">пунктом 6 статьи 78</w:t>
        </w:r>
      </w:hyperlink>
      <w:r>
        <w:rPr>
          <w:sz w:val="20"/>
        </w:rPr>
        <w:t xml:space="preserve"> и </w:t>
      </w:r>
      <w:hyperlink w:history="0" r:id="rId24" w:tooltip="&quot;Бюджетный кодекс Российской Федерации&quot; от 31.07.1998 N 145-ФЗ (ред. от 04.08.2023) (с изм. и доп., вступ. в силу с 01.09.2023) {КонсультантПлюс}">
        <w:r>
          <w:rPr>
            <w:sz w:val="20"/>
            <w:color w:val="0000ff"/>
          </w:rPr>
          <w:t xml:space="preserve">пунктом 5 статьи 79</w:t>
        </w:r>
      </w:hyperlink>
      <w:r>
        <w:rPr>
          <w:sz w:val="20"/>
        </w:rPr>
        <w:t xml:space="preserve"> Бюджетного кодекса Российской Федерации, а также условиями, сроками и в размере, которые предусмотрены соглашением:</w:t>
      </w:r>
    </w:p>
    <w:bookmarkStart w:id="74" w:name="P74"/>
    <w:bookmarkEnd w:id="74"/>
    <w:p>
      <w:pPr>
        <w:pStyle w:val="0"/>
        <w:spacing w:before="200" w:line-rule="auto"/>
        <w:ind w:firstLine="540"/>
        <w:jc w:val="both"/>
      </w:pPr>
      <w:r>
        <w:rPr>
          <w:sz w:val="20"/>
        </w:rPr>
        <w:t xml:space="preserve">капитального гранта;</w:t>
      </w:r>
    </w:p>
    <w:p>
      <w:pPr>
        <w:pStyle w:val="0"/>
        <w:spacing w:before="200" w:line-rule="auto"/>
        <w:ind w:firstLine="540"/>
        <w:jc w:val="both"/>
      </w:pPr>
      <w:r>
        <w:rPr>
          <w:sz w:val="20"/>
        </w:rPr>
        <w:t xml:space="preserve">платы концедента.</w:t>
      </w:r>
    </w:p>
    <w:p>
      <w:pPr>
        <w:pStyle w:val="0"/>
        <w:jc w:val="both"/>
      </w:pPr>
      <w:r>
        <w:rPr>
          <w:sz w:val="20"/>
        </w:rPr>
        <w:t xml:space="preserve">(в ред. </w:t>
      </w:r>
      <w:hyperlink w:history="0" r:id="rId25"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bookmarkStart w:id="77" w:name="P77"/>
    <w:bookmarkEnd w:id="77"/>
    <w:p>
      <w:pPr>
        <w:pStyle w:val="0"/>
        <w:spacing w:before="200" w:line-rule="auto"/>
        <w:ind w:firstLine="540"/>
        <w:jc w:val="both"/>
      </w:pPr>
      <w:r>
        <w:rPr>
          <w:sz w:val="20"/>
        </w:rPr>
        <w:t xml:space="preserve">5. Инвестиционный проект должен соответствовать следующим требованиям:</w:t>
      </w:r>
    </w:p>
    <w:p>
      <w:pPr>
        <w:pStyle w:val="0"/>
        <w:spacing w:before="200" w:line-rule="auto"/>
        <w:ind w:firstLine="540"/>
        <w:jc w:val="both"/>
      </w:pPr>
      <w:r>
        <w:rPr>
          <w:sz w:val="20"/>
        </w:rPr>
        <w:t xml:space="preserve">население муниципального образования, на территории которого планируется реализация инвестиционного проекта (далее - муниципальное образование), либо муниципального образования и его административного центра, расположенного на территории городского округа, имеющего с муниципальным образованием общую границу (далее - административный центр), составляет не менее 300 тыс. человек;</w:t>
      </w:r>
    </w:p>
    <w:p>
      <w:pPr>
        <w:pStyle w:val="0"/>
        <w:spacing w:before="200" w:line-rule="auto"/>
        <w:ind w:firstLine="540"/>
        <w:jc w:val="both"/>
      </w:pPr>
      <w:r>
        <w:rPr>
          <w:sz w:val="20"/>
        </w:rPr>
        <w:t xml:space="preserve">в муниципальном образовании либо в муниципальном образовании и его административном центре располагается не менее 4 образовательных организаций высшего образования;</w:t>
      </w:r>
    </w:p>
    <w:p>
      <w:pPr>
        <w:pStyle w:val="0"/>
        <w:spacing w:before="200" w:line-rule="auto"/>
        <w:ind w:firstLine="540"/>
        <w:jc w:val="both"/>
      </w:pPr>
      <w:r>
        <w:rPr>
          <w:sz w:val="20"/>
        </w:rPr>
        <w:t xml:space="preserve">подтвержденная Министерством науки и высшего образования Российской Федерации потребность в местах для проживания и (или) размещения обучающихся, педагогических, научных и других работников образовательных организаций высшего образования и научных организаций, планируемых к созданию в рамках инвестиционного проекта, составляет не менее 2,5 тыс. мест.</w:t>
      </w:r>
    </w:p>
    <w:p>
      <w:pPr>
        <w:pStyle w:val="0"/>
        <w:jc w:val="both"/>
      </w:pPr>
      <w:r>
        <w:rPr>
          <w:sz w:val="20"/>
        </w:rPr>
        <w:t xml:space="preserve">(в ред. </w:t>
      </w:r>
      <w:hyperlink w:history="0" r:id="rId26"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bookmarkStart w:id="82" w:name="P82"/>
    <w:bookmarkEnd w:id="82"/>
    <w:p>
      <w:pPr>
        <w:pStyle w:val="0"/>
        <w:spacing w:before="200" w:line-rule="auto"/>
        <w:ind w:firstLine="540"/>
        <w:jc w:val="both"/>
      </w:pPr>
      <w:r>
        <w:rPr>
          <w:sz w:val="20"/>
        </w:rPr>
        <w:t xml:space="preserve">5(1). В случае реализации инвестиционного проекта на территории города федерального значения, федеральной территории, геостратегической территории Российской Федерации, территории опережающего развития, на территории особой экономической зоны требования, предусмотренные </w:t>
      </w:r>
      <w:hyperlink w:history="0" w:anchor="P77" w:tooltip="5. Инвестиционный проект должен соответствовать следующим требованиям:">
        <w:r>
          <w:rPr>
            <w:sz w:val="20"/>
            <w:color w:val="0000ff"/>
          </w:rPr>
          <w:t xml:space="preserve">пунктом 5</w:t>
        </w:r>
      </w:hyperlink>
      <w:r>
        <w:rPr>
          <w:sz w:val="20"/>
        </w:rPr>
        <w:t xml:space="preserve"> настоящего Положения, не применяются.</w:t>
      </w:r>
    </w:p>
    <w:p>
      <w:pPr>
        <w:pStyle w:val="0"/>
        <w:jc w:val="both"/>
      </w:pPr>
      <w:r>
        <w:rPr>
          <w:sz w:val="20"/>
        </w:rPr>
        <w:t xml:space="preserve">(п. 5(1) введен </w:t>
      </w:r>
      <w:hyperlink w:history="0" r:id="rId2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6. В случае предоставления иного межбюджетного трансферта бюджету субъекта Российской Федерации в соответствии с </w:t>
      </w:r>
      <w:hyperlink w:history="0" w:anchor="P71" w:tooltip="а) в случае заключения соглашения органом государственной власти субъекта Российской Федерации - путем предоставления иного межбюджетного трансферта бюджету субъекта Российской Федерации в соответствии с Правилами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 утве...">
        <w:r>
          <w:rPr>
            <w:sz w:val="20"/>
            <w:color w:val="0000ff"/>
          </w:rPr>
          <w:t xml:space="preserve">подпунктом "а" пункта 4</w:t>
        </w:r>
      </w:hyperlink>
      <w:r>
        <w:rPr>
          <w:sz w:val="20"/>
        </w:rPr>
        <w:t xml:space="preserve"> настоящего Положения или капитального гранта в соответствии с </w:t>
      </w:r>
      <w:hyperlink w:history="0" w:anchor="P74" w:tooltip="капитального гранта;">
        <w:r>
          <w:rPr>
            <w:sz w:val="20"/>
            <w:color w:val="0000ff"/>
          </w:rPr>
          <w:t xml:space="preserve">абзацем вторым подпункта "б" пункта 4</w:t>
        </w:r>
      </w:hyperlink>
      <w:r>
        <w:rPr>
          <w:sz w:val="20"/>
        </w:rPr>
        <w:t xml:space="preserve"> настоящего Положения расчет предельного объема средств, предоставляемых из федерального бюджета на финансовое обеспечение (софинансирование) реализации инвестиционного проекта, осуществляется в соответствии с </w:t>
      </w:r>
      <w:hyperlink w:history="0" w:anchor="P103" w:tooltip="МЕТОДИКА">
        <w:r>
          <w:rPr>
            <w:sz w:val="20"/>
            <w:color w:val="0000ff"/>
          </w:rPr>
          <w:t xml:space="preserve">методикой</w:t>
        </w:r>
      </w:hyperlink>
      <w:r>
        <w:rPr>
          <w:sz w:val="20"/>
        </w:rPr>
        <w:t xml:space="preserve"> расчета предельного объема средств, предоставляемых из федерального бюджета на финансовое обеспечение (софинансирование) реализации инвестиционного проекта, согласно приложению, если иное не предусмотрено правовыми актами Правительства Российской Федерации.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w:t>
      </w:r>
    </w:p>
    <w:p>
      <w:pPr>
        <w:pStyle w:val="0"/>
        <w:jc w:val="right"/>
      </w:pPr>
      <w:r>
        <w:rPr>
          <w:sz w:val="20"/>
        </w:rPr>
        <w:t xml:space="preserve">к Положению о реализации</w:t>
      </w:r>
    </w:p>
    <w:p>
      <w:pPr>
        <w:pStyle w:val="0"/>
        <w:jc w:val="right"/>
      </w:pPr>
      <w:r>
        <w:rPr>
          <w:sz w:val="20"/>
        </w:rPr>
        <w:t xml:space="preserve">проекта по созданию инновационной</w:t>
      </w:r>
    </w:p>
    <w:p>
      <w:pPr>
        <w:pStyle w:val="0"/>
        <w:jc w:val="right"/>
      </w:pPr>
      <w:r>
        <w:rPr>
          <w:sz w:val="20"/>
        </w:rPr>
        <w:t xml:space="preserve">образовательной среды (кампусов)</w:t>
      </w:r>
    </w:p>
    <w:p>
      <w:pPr>
        <w:pStyle w:val="0"/>
        <w:jc w:val="right"/>
      </w:pPr>
      <w:r>
        <w:rPr>
          <w:sz w:val="20"/>
        </w:rPr>
        <w:t xml:space="preserve">с применением механизмов</w:t>
      </w:r>
    </w:p>
    <w:p>
      <w:pPr>
        <w:pStyle w:val="0"/>
        <w:jc w:val="right"/>
      </w:pPr>
      <w:r>
        <w:rPr>
          <w:sz w:val="20"/>
        </w:rPr>
        <w:t xml:space="preserve">государственно-частного партнерства</w:t>
      </w:r>
    </w:p>
    <w:p>
      <w:pPr>
        <w:pStyle w:val="0"/>
        <w:jc w:val="right"/>
      </w:pPr>
      <w:r>
        <w:rPr>
          <w:sz w:val="20"/>
        </w:rPr>
        <w:t xml:space="preserve">и концессионных соглашений в рамках</w:t>
      </w:r>
    </w:p>
    <w:p>
      <w:pPr>
        <w:pStyle w:val="0"/>
        <w:jc w:val="right"/>
      </w:pPr>
      <w:r>
        <w:rPr>
          <w:sz w:val="20"/>
        </w:rPr>
        <w:t xml:space="preserve">федерального проекта "Развитие</w:t>
      </w:r>
    </w:p>
    <w:p>
      <w:pPr>
        <w:pStyle w:val="0"/>
        <w:jc w:val="right"/>
      </w:pPr>
      <w:r>
        <w:rPr>
          <w:sz w:val="20"/>
        </w:rPr>
        <w:t xml:space="preserve">инфраструктуры для научных</w:t>
      </w:r>
    </w:p>
    <w:p>
      <w:pPr>
        <w:pStyle w:val="0"/>
        <w:jc w:val="right"/>
      </w:pPr>
      <w:r>
        <w:rPr>
          <w:sz w:val="20"/>
        </w:rPr>
        <w:t xml:space="preserve">исследований и подготовки</w:t>
      </w:r>
    </w:p>
    <w:p>
      <w:pPr>
        <w:pStyle w:val="0"/>
        <w:jc w:val="right"/>
      </w:pPr>
      <w:r>
        <w:rPr>
          <w:sz w:val="20"/>
        </w:rPr>
        <w:t xml:space="preserve">кадров" национального проекта</w:t>
      </w:r>
    </w:p>
    <w:p>
      <w:pPr>
        <w:pStyle w:val="0"/>
        <w:jc w:val="right"/>
      </w:pPr>
      <w:r>
        <w:rPr>
          <w:sz w:val="20"/>
        </w:rPr>
        <w:t xml:space="preserve">"Наука и университеты"</w:t>
      </w:r>
    </w:p>
    <w:p>
      <w:pPr>
        <w:pStyle w:val="0"/>
        <w:jc w:val="both"/>
      </w:pPr>
      <w:r>
        <w:rPr>
          <w:sz w:val="20"/>
        </w:rPr>
      </w:r>
    </w:p>
    <w:bookmarkStart w:id="103" w:name="P103"/>
    <w:bookmarkEnd w:id="103"/>
    <w:p>
      <w:pPr>
        <w:pStyle w:val="2"/>
        <w:jc w:val="center"/>
      </w:pPr>
      <w:r>
        <w:rPr>
          <w:sz w:val="20"/>
        </w:rPr>
        <w:t xml:space="preserve">МЕТОДИКА</w:t>
      </w:r>
    </w:p>
    <w:p>
      <w:pPr>
        <w:pStyle w:val="2"/>
        <w:jc w:val="center"/>
      </w:pPr>
      <w:r>
        <w:rPr>
          <w:sz w:val="20"/>
        </w:rPr>
        <w:t xml:space="preserve">РАСЧЕТА ПРЕДЕЛЬНОГО ОБЪЕМА СРЕДСТВ, ПРЕДОСТАВЛЯЕМЫХ</w:t>
      </w:r>
    </w:p>
    <w:p>
      <w:pPr>
        <w:pStyle w:val="2"/>
        <w:jc w:val="center"/>
      </w:pPr>
      <w:r>
        <w:rPr>
          <w:sz w:val="20"/>
        </w:rPr>
        <w:t xml:space="preserve">ИЗ ФЕДЕРАЛЬНОГО БЮДЖЕТА НА ФИНАНСОВОЕ ОБЕСПЕЧЕНИЕ</w:t>
      </w:r>
    </w:p>
    <w:p>
      <w:pPr>
        <w:pStyle w:val="2"/>
        <w:jc w:val="center"/>
      </w:pPr>
      <w:r>
        <w:rPr>
          <w:sz w:val="20"/>
        </w:rPr>
        <w:t xml:space="preserve">(СОФИНАНСИРОВАНИЕ) РЕАЛИЗАЦИИ ИНВЕСТИЦИОННОГО ПРОЕКТА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8"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color w:val="392c69"/>
              </w:rPr>
              <w:t xml:space="preserve"> Правительства РФ от 26.07.2023 N 1213)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Настоящая методика устанавливает порядок расчета предельного объема средств, предоставляемых из федерального бюджета на финансовое обеспечение (софинансирование) реализации инвестиционного проекта в целях обеспечения эффективных механизмов достижения результата федерального проекта "Создание сети современных кампусов" национального проекта "Наука и университеты" (далее - инвестиционный проект).</w:t>
      </w:r>
    </w:p>
    <w:p>
      <w:pPr>
        <w:pStyle w:val="0"/>
        <w:jc w:val="both"/>
      </w:pPr>
      <w:r>
        <w:rPr>
          <w:sz w:val="20"/>
        </w:rPr>
        <w:t xml:space="preserve">(в ред. </w:t>
      </w:r>
      <w:hyperlink w:history="0" r:id="rId29"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bookmarkStart w:id="112" w:name="P112"/>
    <w:bookmarkEnd w:id="112"/>
    <w:p>
      <w:pPr>
        <w:pStyle w:val="0"/>
        <w:spacing w:before="200" w:line-rule="auto"/>
        <w:ind w:firstLine="540"/>
        <w:jc w:val="both"/>
      </w:pPr>
      <w:r>
        <w:rPr>
          <w:sz w:val="20"/>
        </w:rPr>
        <w:t xml:space="preserve">2. Понятия "инвестиционный проект", "кампус", "капитальный грант" и "соглашение", используемые в настоящей методике, применяются в значениях, установленных </w:t>
      </w:r>
      <w:hyperlink w:history="0" w:anchor="P46" w:tooltip="ПОЛОЖЕНИЕ">
        <w:r>
          <w:rPr>
            <w:sz w:val="20"/>
            <w:color w:val="0000ff"/>
          </w:rPr>
          <w:t xml:space="preserve">Положением</w:t>
        </w:r>
      </w:hyperlink>
      <w:r>
        <w:rPr>
          <w:sz w:val="20"/>
        </w:rPr>
        <w:t xml:space="preserve">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утвержденным постановлением Правительства Российской Федерации от 28 июля 2021 г. N 1268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jc w:val="both"/>
      </w:pPr>
      <w:r>
        <w:rPr>
          <w:sz w:val="20"/>
        </w:rPr>
        <w:t xml:space="preserve">(п. 2 в ред. </w:t>
      </w:r>
      <w:hyperlink w:history="0" r:id="rId30"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3. Предельный объем средств, предоставляемых из федерального бюджета на финансовое обеспечение (софинансирование) реализации инвестиционного проекта, не может составлять более 60 процентов стоимости создания кампуса, определенной в финансово-экономической модели инвестиционного проекта, сформированной в соответствии с порядком определения инвестиционных проектов, реализация которых осуществляется в соответствии с </w:t>
      </w:r>
      <w:hyperlink w:history="0" w:anchor="P46" w:tooltip="ПОЛОЖЕНИЕ">
        <w:r>
          <w:rPr>
            <w:sz w:val="20"/>
            <w:color w:val="0000ff"/>
          </w:rPr>
          <w:t xml:space="preserve">Положением</w:t>
        </w:r>
      </w:hyperlink>
      <w:r>
        <w:rPr>
          <w:sz w:val="20"/>
        </w:rPr>
        <w:t xml:space="preserve">, указанным в </w:t>
      </w:r>
      <w:hyperlink w:history="0" w:anchor="P112" w:tooltip="2. Понятия &quot;инвестиционный проект&quot;, &quot;кампус&quot;, &quot;капитальный грант&quot; и &quot;соглашение&quot;, используемые в настоящей методике, применяются в значениях, установленных Положением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quot;Создание сети современных кампусов&quot; национального проекта &quot;Наука и университеты&quot;, утвержденным постановлением Правительства Российской Федерации от 28 июля 2021 г. N 1268 &quot;О реализац...">
        <w:r>
          <w:rPr>
            <w:sz w:val="20"/>
            <w:color w:val="0000ff"/>
          </w:rPr>
          <w:t xml:space="preserve">пункте 2</w:t>
        </w:r>
      </w:hyperlink>
      <w:r>
        <w:rPr>
          <w:sz w:val="20"/>
        </w:rPr>
        <w:t xml:space="preserve"> настоящей методики.</w:t>
      </w:r>
    </w:p>
    <w:p>
      <w:pPr>
        <w:pStyle w:val="0"/>
        <w:spacing w:before="200" w:line-rule="auto"/>
        <w:ind w:firstLine="540"/>
        <w:jc w:val="both"/>
      </w:pPr>
      <w:r>
        <w:rPr>
          <w:sz w:val="20"/>
        </w:rPr>
        <w:t xml:space="preserve">Предельный объем средств, предоставляемых из федерального бюджета на финансовое обеспечение (софинансирование) реализации инвестиционного проекта на территории i-го субъекта Российской Федерации, общая строительная площадь планируемых к созданию объектов недвижимого имущества и количество мест для проживания и (или) размещения в кампусе указываются в решении, принятом межведомственной рабочей группой по вопросам создания инновационной образовательной среды, сформированной Министерством науки и высшего образования Российской Федерации, по результатам проведения процедуры определения инвестиционных проектов.</w:t>
      </w:r>
    </w:p>
    <w:p>
      <w:pPr>
        <w:pStyle w:val="0"/>
        <w:jc w:val="both"/>
      </w:pPr>
      <w:r>
        <w:rPr>
          <w:sz w:val="20"/>
        </w:rPr>
        <w:t xml:space="preserve">(абзац введен </w:t>
      </w:r>
      <w:hyperlink w:history="0" r:id="rId31"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В случае снижения стоимости строительства и (или) реконструкции объекта (объектов) капитального строительства кампуса (далее - объект (объекты) кампуса) по результатам государственной экспертизы проектной документации и (или) результатов инженерных изысканий, включая проверку достоверности определения сметной стоимости строительства кампуса в соответствии с законодательством Российской Федерации, предельный объем средств, предоставляемых из федерального бюджета на финансовое обеспечение (софинансирование) реализации инвестиционных проектов, подлежит пропорциональному уменьшению.</w:t>
      </w:r>
    </w:p>
    <w:p>
      <w:pPr>
        <w:pStyle w:val="0"/>
        <w:jc w:val="both"/>
      </w:pPr>
      <w:r>
        <w:rPr>
          <w:sz w:val="20"/>
        </w:rPr>
        <w:t xml:space="preserve">(абзац введен </w:t>
      </w:r>
      <w:hyperlink w:history="0" r:id="rId32"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В случае увеличения стоимости строительства и (или) реконструкции объекта (объектов) кампуса по результатам государственной экспертизы проектной документации и (или) результатов инженерных изысканий, включая проверку достоверности определения сметной стоимости строительства кампуса в соответствии с законодательством Российской Федерации, предельный объем средств, предоставляемых из федерального бюджета на финансовое обеспечение (софинансирование) реализации инвестиционных проектов, увеличению не подлежит.</w:t>
      </w:r>
    </w:p>
    <w:p>
      <w:pPr>
        <w:pStyle w:val="0"/>
        <w:jc w:val="both"/>
      </w:pPr>
      <w:r>
        <w:rPr>
          <w:sz w:val="20"/>
        </w:rPr>
        <w:t xml:space="preserve">(абзац введен </w:t>
      </w:r>
      <w:hyperlink w:history="0" r:id="rId33"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Предельный объем средств (V</w:t>
      </w:r>
      <w:r>
        <w:rPr>
          <w:sz w:val="20"/>
          <w:vertAlign w:val="subscript"/>
        </w:rPr>
        <w:t xml:space="preserve">i</w:t>
      </w:r>
      <w:r>
        <w:rPr>
          <w:sz w:val="20"/>
        </w:rPr>
        <w:t xml:space="preserve">), предоставляемых из федерального бюджета на финансовое обеспечение (софинансирование) реализации инвестиционного проекта на территории i-го субъекта Российской Федерации, рассчитывается по формуле с учетом этапов строительства и (или) реконструкции объекта (объектов) кампуса:</w:t>
      </w:r>
    </w:p>
    <w:p>
      <w:pPr>
        <w:pStyle w:val="0"/>
        <w:jc w:val="both"/>
      </w:pPr>
      <w:r>
        <w:rPr>
          <w:sz w:val="20"/>
        </w:rPr>
        <w:t xml:space="preserve">(в ред. </w:t>
      </w:r>
      <w:hyperlink w:history="0" r:id="rId34"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jc w:val="both"/>
      </w:pPr>
      <w:r>
        <w:rPr>
          <w:sz w:val="20"/>
        </w:rPr>
      </w:r>
    </w:p>
    <w:p>
      <w:pPr>
        <w:pStyle w:val="0"/>
        <w:jc w:val="center"/>
      </w:pPr>
      <w:r>
        <w:rPr>
          <w:position w:val="-11"/>
        </w:rPr>
        <w:drawing>
          <wp:inline distT="0" distB="0" distL="0" distR="0">
            <wp:extent cx="2657475" cy="2762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val="0"/>
                        </a:ext>
                      </a:extLst>
                    </a:blip>
                    <a:srcRect/>
                    <a:stretch>
                      <a:fillRect/>
                    </a:stretch>
                  </pic:blipFill>
                  <pic:spPr bwMode="auto">
                    <a:xfrm>
                      <a:off x="0" y="0"/>
                      <a:ext cx="2657475" cy="2762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position w:val="-8"/>
        </w:rPr>
        <w:drawing>
          <wp:inline distT="0" distB="0" distL="0" distR="0">
            <wp:extent cx="266700"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sz w:val="20"/>
        </w:rPr>
        <w:t xml:space="preserve"> - стоимость создания одного места в кампусе в базовом районе, определяемая для целей настоящей методики в ценах 2022 года в зависимости от показателей средней рыночной стоимости 1 кв. метра общей площади жилого помещения по субъектам Российской Федерации, установленных Министерством строительства и жилищно-коммунального хозяйства Российской Федерации:</w:t>
      </w:r>
    </w:p>
    <w:p>
      <w:pPr>
        <w:pStyle w:val="0"/>
        <w:jc w:val="both"/>
      </w:pPr>
      <w:r>
        <w:rPr>
          <w:sz w:val="20"/>
        </w:rPr>
        <w:t xml:space="preserve">(в ред. </w:t>
      </w:r>
      <w:hyperlink w:history="0" r:id="rId3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для инвестиционных проектов, реализуемых на территориях субъектов Российской Федерации, в которых показатель средней рыночной стоимости 1 кв. метра общей площади жилого помещения по субъектам Российской Федерации равен или превышает 80 тыс. рублей, стоимость создания одного места в кампусе - 2,95 млн. рублей;</w:t>
      </w:r>
    </w:p>
    <w:p>
      <w:pPr>
        <w:pStyle w:val="0"/>
        <w:jc w:val="both"/>
      </w:pPr>
      <w:r>
        <w:rPr>
          <w:sz w:val="20"/>
        </w:rPr>
        <w:t xml:space="preserve">(в ред. </w:t>
      </w:r>
      <w:hyperlink w:history="0" r:id="rId38"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для инвестиционных проектов, реализуемых на территориях субъектов Российской Федерации, в которых показатель средней рыночной стоимости 1 кв. метра общей площади жилого помещения по субъектам Российской Федерации равен или превышает 50 тыс. рублей, но менее 80 тыс. рублей, стоимость создания одного места в кампусе - 2,28 млн. рублей;</w:t>
      </w:r>
    </w:p>
    <w:p>
      <w:pPr>
        <w:pStyle w:val="0"/>
        <w:jc w:val="both"/>
      </w:pPr>
      <w:r>
        <w:rPr>
          <w:sz w:val="20"/>
        </w:rPr>
        <w:t xml:space="preserve">(в ред. </w:t>
      </w:r>
      <w:hyperlink w:history="0" r:id="rId39"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для инвестиционных проектов, реализуемых на территориях субъектов Российской Федерации, в которых показатель средней рыночной стоимости 1 кв. метра общей площади жилого помещения по субъектам Российской Федерации составляет менее 50 тыс. рублей, стоимость создания одного места в кампусе - 2 млн. рублей.</w:t>
      </w:r>
    </w:p>
    <w:p>
      <w:pPr>
        <w:pStyle w:val="0"/>
        <w:jc w:val="both"/>
      </w:pPr>
      <w:r>
        <w:rPr>
          <w:sz w:val="20"/>
        </w:rPr>
        <w:t xml:space="preserve">(в ред. </w:t>
      </w:r>
      <w:hyperlink w:history="0" r:id="rId40"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В целях приведения стоимости создания одного места в кампусе в базовом районе к стоимости создания одного места в кампусе на территории субъекта Российской Федерации применяются коэффициенты, предусмотренные укрупненными нормативами цен строительства жилых зданий, утверждаемыми Министерством строительства и жилищно-коммунального хозяйства Российской Федерации, в том числе коэффициенты перехода от цен базового района к уровню цен субъектов Российской Федерации, коэффициенты перехода от цен первой зоны субъекта Российской Федерации к уровню цен частей территории субъектов Российской Федерации, которые определены нормативными правовыми актами высшего исполнительного органа субъекта Российской Федерации как самостоятельные ценовые зоны, коэффициенты, учитывающие изменение стоимости строительства на территориях субъектов Российской Федерации, связанные с дополнительными затратами при производстве строительных и монтажных работ в зимнее время, коэффициенты, учитывающие затраты на выполнение работ по ликвидации снежных заносов, вызванных стихийными явлениями, по температурным зонам Российской Федерации, а также коэффициенты сейсмичности, применяемые для учета удорожания стоимости строительства объектов капитального строительства в районах Российской Федерации с сейсмичностью 7, 8 и 9 баллов;</w:t>
      </w:r>
    </w:p>
    <w:p>
      <w:pPr>
        <w:pStyle w:val="0"/>
        <w:jc w:val="both"/>
      </w:pPr>
      <w:r>
        <w:rPr>
          <w:sz w:val="20"/>
        </w:rPr>
        <w:t xml:space="preserve">(в ред. </w:t>
      </w:r>
      <w:hyperlink w:history="0" r:id="rId41"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N</w:t>
      </w:r>
      <w:r>
        <w:rPr>
          <w:sz w:val="20"/>
          <w:vertAlign w:val="subscript"/>
        </w:rPr>
        <w:t xml:space="preserve">i</w:t>
      </w:r>
      <w:r>
        <w:rPr>
          <w:sz w:val="20"/>
        </w:rPr>
        <w:t xml:space="preserve"> - потребность i-го муниципального образования, либо муниципального образования и его административного центра, либо города федерального значения, либо федеральной территории, определенная Министерством науки и высшего образования Российской Федерации, в количестве новых мест для проживания и (или) размещения обучающихся, педагогических, научных и других работников образовательных организаций высшего образования и (или) научных организаций, планируемых к созданию на территории i-го муниципального образования, либо муниципального образования и его административного центра, либо города федерального значения, либо на федеральной территории, в том числе в рамках реализации федерального проекта "Создание сети современных кампусов" национального проекта "Наука и университеты", за исключением потребности, обеспеченной за счет ранее созданных объектов и (или) объектов, находящихся в стадии реализации, и (или) объектов, планируемых к созданию в рамках федерального проекта "Создание сети современных кампусов" национального проекта "Наука и университеты" на территории i-го муниципального образования, либо муниципального образования и его административного центра, либо города федерального значения, либо на федеральной территории;</w:t>
      </w:r>
    </w:p>
    <w:p>
      <w:pPr>
        <w:pStyle w:val="0"/>
        <w:jc w:val="both"/>
      </w:pPr>
      <w:r>
        <w:rPr>
          <w:sz w:val="20"/>
        </w:rPr>
        <w:t xml:space="preserve">(в ред. </w:t>
      </w:r>
      <w:hyperlink w:history="0" r:id="rId42"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К</w:t>
      </w:r>
      <w:r>
        <w:rPr>
          <w:sz w:val="20"/>
          <w:vertAlign w:val="subscript"/>
        </w:rPr>
        <w:t xml:space="preserve">деф</w:t>
      </w:r>
      <w:r>
        <w:rPr>
          <w:sz w:val="20"/>
        </w:rPr>
        <w:t xml:space="preserve"> - коэффициент-дефлятор, используемый в целях приведения стоимостных показателей в цены лет строительства кампуса, рассчитывается на основании прогнозного графика строительства кампуса и накопленного индекса-дефлятора инвестиций в основной капитал, указанного в базовом сценарии прогноза социально-экономического развития Российской Федерации, размещенного на официальном сайте Министерства экономического развития Российской Федерации;</w:t>
      </w:r>
    </w:p>
    <w:p>
      <w:pPr>
        <w:pStyle w:val="0"/>
        <w:spacing w:before="200" w:line-rule="auto"/>
        <w:ind w:firstLine="540"/>
        <w:jc w:val="both"/>
      </w:pPr>
      <w:r>
        <w:rPr>
          <w:sz w:val="20"/>
        </w:rPr>
        <w:t xml:space="preserve">К</w:t>
      </w:r>
      <w:r>
        <w:rPr>
          <w:sz w:val="20"/>
          <w:vertAlign w:val="subscript"/>
        </w:rPr>
        <w:t xml:space="preserve">КИОС</w:t>
      </w:r>
      <w:r>
        <w:rPr>
          <w:sz w:val="20"/>
        </w:rPr>
        <w:t xml:space="preserve"> - коэффициент качества инновационной образовательной среды, направленный на стимулирование концессионера к созданию качественной инновационной образовательной среды, в том числе с применением современных технологических и архитектурных решений;</w:t>
      </w:r>
    </w:p>
    <w:p>
      <w:pPr>
        <w:pStyle w:val="0"/>
        <w:jc w:val="both"/>
      </w:pPr>
      <w:r>
        <w:rPr>
          <w:sz w:val="20"/>
        </w:rPr>
        <w:t xml:space="preserve">(в ред. </w:t>
      </w:r>
      <w:hyperlink w:history="0" r:id="rId43"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position w:val="-8"/>
        </w:rPr>
        <w:drawing>
          <wp:inline distT="0" distB="0" distL="0" distR="0">
            <wp:extent cx="3333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sz w:val="20"/>
        </w:rPr>
        <w:t xml:space="preserve"> - коэффициент привлеченного софинансирования со стороны i-го субъекта Российской Федерации, направленный на стимулирование субъектов Российской Федерации к финансовому участию в реализации инвестиционных проектов и повышению качества инфраструктуры кампусов.</w:t>
      </w:r>
    </w:p>
    <w:p>
      <w:pPr>
        <w:pStyle w:val="0"/>
        <w:spacing w:before="200" w:line-rule="auto"/>
        <w:ind w:firstLine="540"/>
        <w:jc w:val="both"/>
      </w:pPr>
      <w:r>
        <w:rPr>
          <w:sz w:val="20"/>
        </w:rPr>
        <w:t xml:space="preserve">Коэффициент применяется при условии, если концедентом является субъект Российской Федерации, от имени которого выступает орган государственной власти субъекта Российской Федерации, и объем средств бюджета i-го субъекта Российской Федерации на финансовое обеспечение расходного обязательства i-го субъекта Российской Федерации по предоставлению концессионеру капитального гранта превышает 5 процентов размера капитального гранта, определенного в финансово-экономической модели инвестиционного проекта, согласованной Министерством науки и высшего образования Российской Федерации.</w:t>
      </w:r>
    </w:p>
    <w:p>
      <w:pPr>
        <w:pStyle w:val="0"/>
        <w:jc w:val="both"/>
      </w:pPr>
      <w:r>
        <w:rPr>
          <w:sz w:val="20"/>
        </w:rPr>
        <w:t xml:space="preserve">(в ред. </w:t>
      </w:r>
      <w:hyperlink w:history="0" r:id="rId45"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Максимальное значение коэффициента привлеченного софинансирования со стороны i-го субъекта Российской Федерации принимается равным 10 процентам.</w:t>
      </w:r>
    </w:p>
    <w:p>
      <w:pPr>
        <w:pStyle w:val="0"/>
        <w:spacing w:before="200" w:line-rule="auto"/>
        <w:ind w:firstLine="540"/>
        <w:jc w:val="both"/>
      </w:pPr>
      <w:r>
        <w:rPr>
          <w:sz w:val="20"/>
        </w:rPr>
        <w:t xml:space="preserve">Если концедентом является Российская Федерация, от имени которой выступает уполномоченный Правительством Российской Федерации федеральный орган исполнительной власти, расчетное значение коэффициента привлеченного софинансирования со стороны i-го субъекта Российской Федерации, направленного на стимулирование субъектов Российской Федерации к финансовому участию в реализации инвестиционных проектов и повышению качества инфраструктуры кампусов (К</w:t>
      </w:r>
      <w:r>
        <w:rPr>
          <w:sz w:val="20"/>
          <w:vertAlign w:val="subscript"/>
        </w:rPr>
        <w:t xml:space="preserve">ПФi</w:t>
      </w:r>
      <w:r>
        <w:rPr>
          <w:sz w:val="20"/>
        </w:rPr>
        <w:t xml:space="preserve">), в формуле расчета предельного объема средств, предоставляемых из федерального бюджета на финансовое обеспечение (софинансирование) реализации инвестиционного проекта на территории i-го субъекта Российской Федерации, принимается равным 0.</w:t>
      </w:r>
    </w:p>
    <w:p>
      <w:pPr>
        <w:pStyle w:val="0"/>
        <w:jc w:val="both"/>
      </w:pPr>
      <w:r>
        <w:rPr>
          <w:sz w:val="20"/>
        </w:rPr>
        <w:t xml:space="preserve">(в ред. </w:t>
      </w:r>
      <w:hyperlink w:history="0" r:id="rId46"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Значение коэффициента качества инновационной образовательной среды определяется Министерством науки и высшего образования Российской Федерации с учетом количества баллов, набранных инвестиционным проектом:</w:t>
      </w:r>
    </w:p>
    <w:p>
      <w:pPr>
        <w:pStyle w:val="0"/>
        <w:jc w:val="both"/>
      </w:pPr>
      <w:r>
        <w:rPr>
          <w:sz w:val="20"/>
        </w:rPr>
        <w:t xml:space="preserve">(в ред. </w:t>
      </w:r>
      <w:hyperlink w:history="0" r:id="rId4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в случае если количество баллов по инвестиционному проекту менее или равно 5, то значение коэффициента К</w:t>
      </w:r>
      <w:r>
        <w:rPr>
          <w:sz w:val="20"/>
          <w:vertAlign w:val="subscript"/>
        </w:rPr>
        <w:t xml:space="preserve">КИОС</w:t>
      </w:r>
      <w:r>
        <w:rPr>
          <w:sz w:val="20"/>
        </w:rPr>
        <w:t xml:space="preserve"> принимается равным 1,0;</w:t>
      </w:r>
    </w:p>
    <w:p>
      <w:pPr>
        <w:pStyle w:val="0"/>
        <w:spacing w:before="200" w:line-rule="auto"/>
        <w:ind w:firstLine="540"/>
        <w:jc w:val="both"/>
      </w:pPr>
      <w:r>
        <w:rPr>
          <w:sz w:val="20"/>
        </w:rPr>
        <w:t xml:space="preserve">в случае если количество баллов по инвестиционному проекту более 5, но менее или равно 10, то значение коэффициента К</w:t>
      </w:r>
      <w:r>
        <w:rPr>
          <w:sz w:val="20"/>
          <w:vertAlign w:val="subscript"/>
        </w:rPr>
        <w:t xml:space="preserve">КИОС</w:t>
      </w:r>
      <w:r>
        <w:rPr>
          <w:sz w:val="20"/>
        </w:rPr>
        <w:t xml:space="preserve"> принимается равным 1,1;</w:t>
      </w:r>
    </w:p>
    <w:p>
      <w:pPr>
        <w:pStyle w:val="0"/>
        <w:spacing w:before="200" w:line-rule="auto"/>
        <w:ind w:firstLine="540"/>
        <w:jc w:val="both"/>
      </w:pPr>
      <w:r>
        <w:rPr>
          <w:sz w:val="20"/>
        </w:rPr>
        <w:t xml:space="preserve">в случае если количество баллов по инвестиционному проекту более 10, но менее или равно 15, то значение коэффициента К</w:t>
      </w:r>
      <w:r>
        <w:rPr>
          <w:sz w:val="20"/>
          <w:vertAlign w:val="subscript"/>
        </w:rPr>
        <w:t xml:space="preserve">КИОС</w:t>
      </w:r>
      <w:r>
        <w:rPr>
          <w:sz w:val="20"/>
        </w:rPr>
        <w:t xml:space="preserve"> принимается равным 1,2;</w:t>
      </w:r>
    </w:p>
    <w:p>
      <w:pPr>
        <w:pStyle w:val="0"/>
        <w:spacing w:before="200" w:line-rule="auto"/>
        <w:ind w:firstLine="540"/>
        <w:jc w:val="both"/>
      </w:pPr>
      <w:r>
        <w:rPr>
          <w:sz w:val="20"/>
        </w:rPr>
        <w:t xml:space="preserve">в случае если количество баллов по инвестиционному проекту более 15, то значение коэффициента К</w:t>
      </w:r>
      <w:r>
        <w:rPr>
          <w:sz w:val="20"/>
          <w:vertAlign w:val="subscript"/>
        </w:rPr>
        <w:t xml:space="preserve">КИОС</w:t>
      </w:r>
      <w:r>
        <w:rPr>
          <w:sz w:val="20"/>
        </w:rPr>
        <w:t xml:space="preserve"> принимается равным 1,3.</w:t>
      </w:r>
    </w:p>
    <w:p>
      <w:pPr>
        <w:pStyle w:val="0"/>
        <w:spacing w:before="200" w:line-rule="auto"/>
        <w:ind w:firstLine="540"/>
        <w:jc w:val="both"/>
      </w:pPr>
      <w:r>
        <w:rPr>
          <w:sz w:val="20"/>
        </w:rPr>
        <w:t xml:space="preserve">Баллы по инвестиционному проекту присваиваются в соответствии с критериями оценки показателей качества инновационной образовательной среды согласно </w:t>
      </w:r>
      <w:hyperlink w:history="0" w:anchor="P176" w:tooltip="КРИТЕРИИ">
        <w:r>
          <w:rPr>
            <w:sz w:val="20"/>
            <w:color w:val="0000ff"/>
          </w:rPr>
          <w:t xml:space="preserve">приложению</w:t>
        </w:r>
      </w:hyperlink>
      <w:r>
        <w:rPr>
          <w:sz w:val="20"/>
        </w:rPr>
        <w:t xml:space="preserve">.</w:t>
      </w:r>
    </w:p>
    <w:p>
      <w:pPr>
        <w:pStyle w:val="0"/>
        <w:spacing w:before="200" w:line-rule="auto"/>
        <w:ind w:firstLine="540"/>
        <w:jc w:val="both"/>
      </w:pPr>
      <w:r>
        <w:rPr>
          <w:sz w:val="20"/>
        </w:rPr>
        <w:t xml:space="preserve">4. Значение коэффициента привлеченного софинансирования со стороны i-го субъекта Российской Федерации (К</w:t>
      </w:r>
      <w:r>
        <w:rPr>
          <w:sz w:val="20"/>
          <w:vertAlign w:val="subscript"/>
        </w:rPr>
        <w:t xml:space="preserve">ПФi</w:t>
      </w:r>
      <w:r>
        <w:rPr>
          <w:sz w:val="20"/>
        </w:rPr>
        <w:t xml:space="preserve">) рассчитывается в процентах по формуле:</w:t>
      </w:r>
    </w:p>
    <w:p>
      <w:pPr>
        <w:pStyle w:val="0"/>
        <w:jc w:val="both"/>
      </w:pPr>
      <w:r>
        <w:rPr>
          <w:sz w:val="20"/>
        </w:rPr>
      </w:r>
    </w:p>
    <w:p>
      <w:pPr>
        <w:pStyle w:val="0"/>
        <w:jc w:val="center"/>
      </w:pPr>
      <w:r>
        <w:rPr>
          <w:position w:val="-23"/>
        </w:rPr>
        <w:drawing>
          <wp:inline distT="0" distB="0" distL="0" distR="0">
            <wp:extent cx="1019175" cy="428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val="0"/>
                        </a:ext>
                      </a:extLst>
                    </a:blip>
                    <a:srcRect/>
                    <a:stretch>
                      <a:fillRect/>
                    </a:stretch>
                  </pic:blipFill>
                  <pic:spPr bwMode="auto">
                    <a:xfrm>
                      <a:off x="0" y="0"/>
                      <a:ext cx="1019175" cy="4286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B</w:t>
      </w:r>
      <w:r>
        <w:rPr>
          <w:sz w:val="20"/>
          <w:vertAlign w:val="subscript"/>
        </w:rPr>
        <w:t xml:space="preserve">i</w:t>
      </w:r>
      <w:r>
        <w:rPr>
          <w:sz w:val="20"/>
        </w:rPr>
        <w:t xml:space="preserve"> - объем средств бюджета i-го субъекта Российской Федерации на финансовое обеспечение расходного обязательства i-го субъекта Российской Федерации по предоставлению концессионеру капитального гранта;</w:t>
      </w:r>
    </w:p>
    <w:p>
      <w:pPr>
        <w:pStyle w:val="0"/>
        <w:jc w:val="both"/>
      </w:pPr>
      <w:r>
        <w:rPr>
          <w:sz w:val="20"/>
        </w:rPr>
        <w:t xml:space="preserve">(в ред. </w:t>
      </w:r>
      <w:hyperlink w:history="0" r:id="rId49"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G</w:t>
      </w:r>
      <w:r>
        <w:rPr>
          <w:sz w:val="20"/>
          <w:vertAlign w:val="subscript"/>
        </w:rPr>
        <w:t xml:space="preserve">i</w:t>
      </w:r>
      <w:r>
        <w:rPr>
          <w:sz w:val="20"/>
        </w:rPr>
        <w:t xml:space="preserve"> - размер капитального гранта, определенный в финансово-экономической модели инвестиционного проекта, согласованной Министерством науки и высшего образования Российской Федерации.</w:t>
      </w:r>
    </w:p>
    <w:p>
      <w:pPr>
        <w:pStyle w:val="0"/>
        <w:jc w:val="both"/>
      </w:pPr>
      <w:r>
        <w:rPr>
          <w:sz w:val="20"/>
        </w:rPr>
        <w:t xml:space="preserve">(в ред. </w:t>
      </w:r>
      <w:hyperlink w:history="0" r:id="rId50"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методике расчета предельного объема</w:t>
      </w:r>
    </w:p>
    <w:p>
      <w:pPr>
        <w:pStyle w:val="0"/>
        <w:jc w:val="right"/>
      </w:pPr>
      <w:r>
        <w:rPr>
          <w:sz w:val="20"/>
        </w:rPr>
        <w:t xml:space="preserve">средств, предоставляемых из федерального</w:t>
      </w:r>
    </w:p>
    <w:p>
      <w:pPr>
        <w:pStyle w:val="0"/>
        <w:jc w:val="right"/>
      </w:pPr>
      <w:r>
        <w:rPr>
          <w:sz w:val="20"/>
        </w:rPr>
        <w:t xml:space="preserve">бюджета на финансовое обеспечение</w:t>
      </w:r>
    </w:p>
    <w:p>
      <w:pPr>
        <w:pStyle w:val="0"/>
        <w:jc w:val="right"/>
      </w:pPr>
      <w:r>
        <w:rPr>
          <w:sz w:val="20"/>
        </w:rPr>
        <w:t xml:space="preserve">(софинансирование) реализации</w:t>
      </w:r>
    </w:p>
    <w:p>
      <w:pPr>
        <w:pStyle w:val="0"/>
        <w:jc w:val="right"/>
      </w:pPr>
      <w:r>
        <w:rPr>
          <w:sz w:val="20"/>
        </w:rPr>
        <w:t xml:space="preserve">инвестиционного проекта</w:t>
      </w:r>
    </w:p>
    <w:p>
      <w:pPr>
        <w:pStyle w:val="0"/>
        <w:jc w:val="both"/>
      </w:pPr>
      <w:r>
        <w:rPr>
          <w:sz w:val="20"/>
        </w:rPr>
      </w:r>
    </w:p>
    <w:bookmarkStart w:id="176" w:name="P176"/>
    <w:bookmarkEnd w:id="176"/>
    <w:p>
      <w:pPr>
        <w:pStyle w:val="2"/>
        <w:jc w:val="center"/>
      </w:pPr>
      <w:r>
        <w:rPr>
          <w:sz w:val="20"/>
        </w:rPr>
        <w:t xml:space="preserve">КРИТЕРИИ</w:t>
      </w:r>
    </w:p>
    <w:p>
      <w:pPr>
        <w:pStyle w:val="2"/>
        <w:jc w:val="center"/>
      </w:pPr>
      <w:r>
        <w:rPr>
          <w:sz w:val="20"/>
        </w:rPr>
        <w:t xml:space="preserve">ОЦЕНКИ ПОКАЗАТЕЛЕЙ КАЧЕСТВА ИННОВАЦИОННОЙ</w:t>
      </w:r>
    </w:p>
    <w:p>
      <w:pPr>
        <w:pStyle w:val="2"/>
        <w:jc w:val="center"/>
      </w:pPr>
      <w:r>
        <w:rPr>
          <w:sz w:val="20"/>
        </w:rPr>
        <w:t xml:space="preserve">ОБРАЗОВАТЕЛЬНОЙ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51"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color w:val="392c69"/>
              </w:rPr>
              <w:t xml:space="preserve"> Правительства РФ от 26.07.2023 N 1213)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bottom w:val="single" w:sz="4"/>
        </w:tblBorders>
        <w:tblCellMar>
          <w:top w:w="102" w:type="dxa"/>
          <w:left w:w="62" w:type="dxa"/>
          <w:bottom w:w="102" w:type="dxa"/>
          <w:right w:w="62" w:type="dxa"/>
        </w:tblCellMar>
      </w:tblPr>
      <w:tblGrid>
        <w:gridCol w:w="567"/>
        <w:gridCol w:w="2891"/>
        <w:gridCol w:w="4876"/>
        <w:gridCol w:w="737"/>
      </w:tblGrid>
      <w:tr>
        <w:tblPrEx>
          <w:tblBorders>
            <w:insideV w:val="single" w:sz="4"/>
            <w:insideH w:val="single" w:sz="4"/>
          </w:tblBorders>
        </w:tblPrEx>
        <w:tc>
          <w:tcPr>
            <w:gridSpan w:val="2"/>
            <w:tcW w:w="3458" w:type="dxa"/>
            <w:tcBorders>
              <w:top w:val="single" w:sz="4"/>
              <w:left w:val="nil"/>
              <w:bottom w:val="single" w:sz="4"/>
            </w:tcBorders>
          </w:tcPr>
          <w:p>
            <w:pPr>
              <w:pStyle w:val="0"/>
              <w:jc w:val="center"/>
            </w:pPr>
            <w:r>
              <w:rPr>
                <w:sz w:val="20"/>
              </w:rPr>
              <w:t xml:space="preserve">Показатель качества инновационной образовательной среды</w:t>
            </w:r>
          </w:p>
        </w:tc>
        <w:tc>
          <w:tcPr>
            <w:tcW w:w="4876" w:type="dxa"/>
            <w:tcBorders>
              <w:top w:val="single" w:sz="4"/>
              <w:bottom w:val="single" w:sz="4"/>
            </w:tcBorders>
          </w:tcPr>
          <w:p>
            <w:pPr>
              <w:pStyle w:val="0"/>
              <w:jc w:val="center"/>
            </w:pPr>
            <w:r>
              <w:rPr>
                <w:sz w:val="20"/>
              </w:rPr>
              <w:t xml:space="preserve">Критерии оценки</w:t>
            </w:r>
          </w:p>
        </w:tc>
        <w:tc>
          <w:tcPr>
            <w:tcW w:w="737" w:type="dxa"/>
            <w:tcBorders>
              <w:top w:val="single" w:sz="4"/>
              <w:bottom w:val="single" w:sz="4"/>
              <w:right w:val="nil"/>
            </w:tcBorders>
          </w:tcPr>
          <w:p>
            <w:pPr>
              <w:pStyle w:val="0"/>
              <w:jc w:val="center"/>
            </w:pPr>
            <w:r>
              <w:rPr>
                <w:sz w:val="20"/>
              </w:rPr>
              <w:t xml:space="preserve">Балл</w:t>
            </w:r>
          </w:p>
        </w:tc>
      </w:tr>
      <w:tr>
        <w:tc>
          <w:tcPr>
            <w:gridSpan w:val="4"/>
            <w:tcW w:w="9071" w:type="dxa"/>
            <w:tcBorders>
              <w:top w:val="single" w:sz="4"/>
              <w:left w:val="nil"/>
              <w:bottom w:val="nil"/>
              <w:right w:val="nil"/>
            </w:tcBorders>
          </w:tcPr>
          <w:p>
            <w:pPr>
              <w:pStyle w:val="0"/>
              <w:outlineLvl w:val="3"/>
              <w:jc w:val="center"/>
            </w:pPr>
            <w:r>
              <w:rPr>
                <w:sz w:val="20"/>
              </w:rPr>
              <w:t xml:space="preserve">I. Повышение позитивного влияния инфраструктуры на достижение целей устойчивого развития и роста национальной экономики</w:t>
            </w:r>
          </w:p>
        </w:tc>
      </w:tr>
      <w:tr>
        <w:tc>
          <w:tcPr>
            <w:tcW w:w="567" w:type="dxa"/>
            <w:tcBorders>
              <w:top w:val="nil"/>
              <w:left w:val="nil"/>
              <w:bottom w:val="nil"/>
              <w:right w:val="nil"/>
            </w:tcBorders>
          </w:tcPr>
          <w:p>
            <w:pPr>
              <w:pStyle w:val="0"/>
              <w:jc w:val="center"/>
            </w:pPr>
            <w:r>
              <w:rPr>
                <w:sz w:val="20"/>
              </w:rPr>
              <w:t xml:space="preserve">1.</w:t>
            </w:r>
          </w:p>
        </w:tc>
        <w:tc>
          <w:tcPr>
            <w:tcW w:w="2891" w:type="dxa"/>
            <w:tcBorders>
              <w:top w:val="nil"/>
              <w:left w:val="nil"/>
              <w:bottom w:val="nil"/>
              <w:right w:val="nil"/>
            </w:tcBorders>
          </w:tcPr>
          <w:p>
            <w:pPr>
              <w:pStyle w:val="0"/>
            </w:pPr>
            <w:r>
              <w:rPr>
                <w:sz w:val="20"/>
              </w:rPr>
              <w:t xml:space="preserve">Реализация инвестиционного проекта создает значимый экономический эффект для экономики региона</w:t>
            </w:r>
          </w:p>
        </w:tc>
        <w:tc>
          <w:tcPr>
            <w:tcW w:w="4876" w:type="dxa"/>
            <w:tcBorders>
              <w:top w:val="nil"/>
              <w:left w:val="nil"/>
              <w:bottom w:val="nil"/>
              <w:right w:val="nil"/>
            </w:tcBorders>
          </w:tcPr>
          <w:p>
            <w:pPr>
              <w:pStyle w:val="0"/>
            </w:pPr>
            <w:r>
              <w:rPr>
                <w:sz w:val="20"/>
              </w:rPr>
              <w:t xml:space="preserve">1) в соответствии с финансово-экономической моделью инвестиционного проекта прогнозируемые совокупные доходы бюджетов бюджетной системы Российской Федерации превышают совокупные расходы бюджетов бюджетной системы Российской Федерации по инвестиционному проекту</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2) инвестиционный проект предусматривает обеспечение закупок товаров, работ и услуг у субъектов малого и среднего предпринимательства, включая индивидуальных предпринимателей, в размере не менее 15 процентов совокупного годового объема закупок (показатель направлен на достижение целей национального проекта "Малое и среднее предпринимательство и поддержка индивидуальной предпринимательской инициативы")</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jc w:val="center"/>
            </w:pPr>
            <w:r>
              <w:rPr>
                <w:sz w:val="20"/>
              </w:rPr>
              <w:t xml:space="preserve">2.</w:t>
            </w:r>
          </w:p>
        </w:tc>
        <w:tc>
          <w:tcPr>
            <w:tcW w:w="2891" w:type="dxa"/>
            <w:tcBorders>
              <w:top w:val="nil"/>
              <w:left w:val="nil"/>
              <w:bottom w:val="nil"/>
              <w:right w:val="nil"/>
            </w:tcBorders>
          </w:tcPr>
          <w:p>
            <w:pPr>
              <w:pStyle w:val="0"/>
            </w:pPr>
            <w:r>
              <w:rPr>
                <w:sz w:val="20"/>
              </w:rPr>
              <w:t xml:space="preserve">Инвестиционный проект содействует долговременному и устойчивому развитию экономики региона реализации</w:t>
            </w:r>
          </w:p>
        </w:tc>
        <w:tc>
          <w:tcPr>
            <w:tcW w:w="4876" w:type="dxa"/>
            <w:tcBorders>
              <w:top w:val="nil"/>
              <w:left w:val="nil"/>
              <w:bottom w:val="nil"/>
              <w:right w:val="nil"/>
            </w:tcBorders>
          </w:tcPr>
          <w:p>
            <w:pPr>
              <w:pStyle w:val="0"/>
            </w:pPr>
            <w:r>
              <w:rPr>
                <w:sz w:val="20"/>
              </w:rPr>
              <w:t xml:space="preserve">1) инвестиционный проект предусматривает создание добавленной стоимости (разница между базой для расчета налога на добавленную стоимость, включенного в стоимость реализации товаров, работ или услуг, приобретенных концессионером, и налога на добавленную стоимость, включенного концессионером в стоимость реализации товаров, работ или услуг, реализуемых при осуществлении деятельности с использованием (эксплуатацией) объекта концессионного соглашения) в размере не менее 5 процентов общего размера предоставляемых мер государственной поддержки</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2) инвестиционный проект предусматривает создание не менее 100 новых рабочих мест, из которых не менее 50 процентов создается в целях содействия занятости местного населения</w:t>
            </w:r>
          </w:p>
        </w:tc>
        <w:tc>
          <w:tcPr>
            <w:tcW w:w="737" w:type="dxa"/>
            <w:tcBorders>
              <w:top w:val="nil"/>
              <w:left w:val="nil"/>
              <w:bottom w:val="nil"/>
              <w:right w:val="nil"/>
            </w:tcBorders>
          </w:tcPr>
          <w:p>
            <w:pPr>
              <w:pStyle w:val="0"/>
              <w:jc w:val="center"/>
            </w:pPr>
            <w:r>
              <w:rPr>
                <w:sz w:val="20"/>
              </w:rPr>
              <w:t xml:space="preserve">1</w:t>
            </w:r>
          </w:p>
        </w:tc>
      </w:tr>
      <w:tr>
        <w:tc>
          <w:tcPr>
            <w:gridSpan w:val="4"/>
            <w:tcW w:w="9071" w:type="dxa"/>
            <w:tcBorders>
              <w:top w:val="nil"/>
              <w:left w:val="nil"/>
              <w:bottom w:val="nil"/>
              <w:right w:val="nil"/>
            </w:tcBorders>
          </w:tcPr>
          <w:p>
            <w:pPr>
              <w:pStyle w:val="0"/>
              <w:outlineLvl w:val="3"/>
              <w:jc w:val="center"/>
            </w:pPr>
            <w:r>
              <w:rPr>
                <w:sz w:val="20"/>
              </w:rPr>
              <w:t xml:space="preserve">II. Обеспечение экономической эффективности на протяжении всего жизненного цикла реализации инвестиционного проекта</w:t>
            </w:r>
          </w:p>
        </w:tc>
      </w:tr>
      <w:tr>
        <w:tc>
          <w:tcPr>
            <w:tcW w:w="567" w:type="dxa"/>
            <w:tcBorders>
              <w:top w:val="nil"/>
              <w:left w:val="nil"/>
              <w:bottom w:val="nil"/>
              <w:right w:val="nil"/>
            </w:tcBorders>
          </w:tcPr>
          <w:p>
            <w:pPr>
              <w:pStyle w:val="0"/>
              <w:jc w:val="center"/>
            </w:pPr>
            <w:r>
              <w:rPr>
                <w:sz w:val="20"/>
              </w:rPr>
              <w:t xml:space="preserve">3.</w:t>
            </w:r>
          </w:p>
        </w:tc>
        <w:tc>
          <w:tcPr>
            <w:tcW w:w="2891" w:type="dxa"/>
            <w:tcBorders>
              <w:top w:val="nil"/>
              <w:left w:val="nil"/>
              <w:bottom w:val="nil"/>
              <w:right w:val="nil"/>
            </w:tcBorders>
          </w:tcPr>
          <w:p>
            <w:pPr>
              <w:pStyle w:val="0"/>
            </w:pPr>
            <w:r>
              <w:rPr>
                <w:sz w:val="20"/>
              </w:rPr>
              <w:t xml:space="preserve">Оценка основных финансово-экономических параметров жизненного цикла инвестиционного проекта на этапе подготовки инвестиционного проекта</w:t>
            </w:r>
          </w:p>
        </w:tc>
        <w:tc>
          <w:tcPr>
            <w:tcW w:w="4876" w:type="dxa"/>
            <w:tcBorders>
              <w:top w:val="nil"/>
              <w:left w:val="nil"/>
              <w:bottom w:val="nil"/>
              <w:right w:val="nil"/>
            </w:tcBorders>
          </w:tcPr>
          <w:p>
            <w:pPr>
              <w:pStyle w:val="0"/>
            </w:pPr>
            <w:r>
              <w:rPr>
                <w:sz w:val="20"/>
              </w:rPr>
              <w:t xml:space="preserve">потенциальным концессионером проведена оценка финансовых параметров инвестиционного проекта на протяжении срока действия концессионного соглашения, включая прогноз движения денежных средств, отчет о финансовом результате и баланс инвестиционного проекта</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jc w:val="center"/>
            </w:pPr>
            <w:r>
              <w:rPr>
                <w:sz w:val="20"/>
              </w:rPr>
              <w:t xml:space="preserve">4.</w:t>
            </w:r>
          </w:p>
        </w:tc>
        <w:tc>
          <w:tcPr>
            <w:tcW w:w="2891" w:type="dxa"/>
            <w:tcBorders>
              <w:top w:val="nil"/>
              <w:left w:val="nil"/>
              <w:bottom w:val="nil"/>
              <w:right w:val="nil"/>
            </w:tcBorders>
          </w:tcPr>
          <w:p>
            <w:pPr>
              <w:pStyle w:val="0"/>
            </w:pPr>
            <w:r>
              <w:rPr>
                <w:sz w:val="20"/>
              </w:rPr>
              <w:t xml:space="preserve">Инвестиционный проект учитывает механизмы управления рисками на всех этапах жизненного цикла</w:t>
            </w:r>
          </w:p>
        </w:tc>
        <w:tc>
          <w:tcPr>
            <w:tcW w:w="4876" w:type="dxa"/>
            <w:tcBorders>
              <w:top w:val="nil"/>
              <w:left w:val="nil"/>
              <w:bottom w:val="nil"/>
              <w:right w:val="nil"/>
            </w:tcBorders>
          </w:tcPr>
          <w:p>
            <w:pPr>
              <w:pStyle w:val="0"/>
            </w:pPr>
            <w:r>
              <w:rPr>
                <w:sz w:val="20"/>
              </w:rPr>
              <w:t xml:space="preserve">1) инвестиционный проект предусматривает обязанность потенциального концессионера предоставить необходимое обеспечение исполнения своих обязательств на всех этапах инвестиционного проекта</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2) инвестиционный проект предусматривает особые обстоятельства, учитывающие действия концессионера и концедента при условии наступления рисков (матрица рисков)</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3) наличие подтвержденного опыта потенциального концессионера (или аффилированного лица) в реализации не менее 2 крупных инфраструктурных проектов на принципах государственно-частного партнерства с объемом проектно-изыскательских и (или) строительно-монтажных работ не менее 75 процентов объема заявленных капитальных затрат по инвестиционному проекту</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jc w:val="center"/>
            </w:pPr>
            <w:r>
              <w:rPr>
                <w:sz w:val="20"/>
              </w:rPr>
              <w:t xml:space="preserve">5.</w:t>
            </w:r>
          </w:p>
        </w:tc>
        <w:tc>
          <w:tcPr>
            <w:tcW w:w="2891" w:type="dxa"/>
            <w:tcBorders>
              <w:top w:val="nil"/>
              <w:left w:val="nil"/>
              <w:bottom w:val="nil"/>
              <w:right w:val="nil"/>
            </w:tcBorders>
          </w:tcPr>
          <w:p>
            <w:pPr>
              <w:pStyle w:val="0"/>
            </w:pPr>
            <w:r>
              <w:rPr>
                <w:sz w:val="20"/>
              </w:rPr>
              <w:t xml:space="preserve">Инвестиционным проектом предусмотрено использование инновационных технологий</w:t>
            </w:r>
          </w:p>
        </w:tc>
        <w:tc>
          <w:tcPr>
            <w:tcW w:w="4876" w:type="dxa"/>
            <w:tcBorders>
              <w:top w:val="nil"/>
              <w:left w:val="nil"/>
              <w:bottom w:val="nil"/>
              <w:right w:val="nil"/>
            </w:tcBorders>
          </w:tcPr>
          <w:p>
            <w:pPr>
              <w:pStyle w:val="0"/>
            </w:pPr>
            <w:r>
              <w:rPr>
                <w:sz w:val="20"/>
              </w:rPr>
              <w:t xml:space="preserve">технико-экономические параметры инвестиционного проекта предусматривают обязательство по применению инновационных и энергосберегающих технологических решений при проектировании и создании объекта (объектов) капитального строительства кампуса (далее - объект (объекты) кампуса), а также использование технологии информационного моделирования зданий (BIM-технологии) для обеспечения прозрачности процессов</w:t>
            </w:r>
          </w:p>
        </w:tc>
        <w:tc>
          <w:tcPr>
            <w:tcW w:w="737" w:type="dxa"/>
            <w:tcBorders>
              <w:top w:val="nil"/>
              <w:left w:val="nil"/>
              <w:bottom w:val="nil"/>
              <w:right w:val="nil"/>
            </w:tcBorders>
          </w:tcPr>
          <w:p>
            <w:pPr>
              <w:pStyle w:val="0"/>
              <w:jc w:val="center"/>
            </w:pPr>
            <w:r>
              <w:rPr>
                <w:sz w:val="20"/>
              </w:rPr>
              <w:t xml:space="preserve">1</w:t>
            </w:r>
          </w:p>
        </w:tc>
      </w:tr>
      <w:tr>
        <w:tc>
          <w:tcPr>
            <w:gridSpan w:val="4"/>
            <w:tcW w:w="9071" w:type="dxa"/>
            <w:tcBorders>
              <w:top w:val="nil"/>
              <w:left w:val="nil"/>
              <w:bottom w:val="nil"/>
              <w:right w:val="nil"/>
            </w:tcBorders>
          </w:tcPr>
          <w:p>
            <w:pPr>
              <w:pStyle w:val="0"/>
              <w:outlineLvl w:val="3"/>
              <w:jc w:val="center"/>
            </w:pPr>
            <w:r>
              <w:rPr>
                <w:sz w:val="20"/>
              </w:rPr>
              <w:t xml:space="preserve">III. Интеграция экологических аспектов в инвестиционные проекты</w:t>
            </w:r>
          </w:p>
        </w:tc>
      </w:tr>
      <w:tr>
        <w:tc>
          <w:tcPr>
            <w:tcW w:w="567" w:type="dxa"/>
            <w:tcBorders>
              <w:top w:val="nil"/>
              <w:left w:val="nil"/>
              <w:bottom w:val="nil"/>
              <w:right w:val="nil"/>
            </w:tcBorders>
          </w:tcPr>
          <w:p>
            <w:pPr>
              <w:pStyle w:val="0"/>
              <w:jc w:val="center"/>
            </w:pPr>
            <w:r>
              <w:rPr>
                <w:sz w:val="20"/>
              </w:rPr>
              <w:t xml:space="preserve">6.</w:t>
            </w:r>
          </w:p>
        </w:tc>
        <w:tc>
          <w:tcPr>
            <w:tcW w:w="2891" w:type="dxa"/>
            <w:tcBorders>
              <w:top w:val="nil"/>
              <w:left w:val="nil"/>
              <w:bottom w:val="nil"/>
              <w:right w:val="nil"/>
            </w:tcBorders>
          </w:tcPr>
          <w:p>
            <w:pPr>
              <w:pStyle w:val="0"/>
            </w:pPr>
            <w:r>
              <w:rPr>
                <w:sz w:val="20"/>
              </w:rPr>
              <w:t xml:space="preserve">Инвестиционным проектом предусмотрены мероприятия по минимизации негативного влияния на окружающую среду</w:t>
            </w:r>
          </w:p>
        </w:tc>
        <w:tc>
          <w:tcPr>
            <w:tcW w:w="4876" w:type="dxa"/>
            <w:tcBorders>
              <w:top w:val="nil"/>
              <w:left w:val="nil"/>
              <w:bottom w:val="nil"/>
              <w:right w:val="nil"/>
            </w:tcBorders>
          </w:tcPr>
          <w:p>
            <w:pPr>
              <w:pStyle w:val="0"/>
            </w:pPr>
            <w:r>
              <w:rPr>
                <w:sz w:val="20"/>
              </w:rPr>
              <w:t xml:space="preserve">технико-экономические параметры инвестиционного проекта предусматривают проведение инженерно-экологических изысканий при разработке проектной документации</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jc w:val="center"/>
            </w:pPr>
            <w:r>
              <w:rPr>
                <w:sz w:val="20"/>
              </w:rPr>
              <w:t xml:space="preserve">7.</w:t>
            </w:r>
          </w:p>
        </w:tc>
        <w:tc>
          <w:tcPr>
            <w:tcW w:w="2891" w:type="dxa"/>
            <w:tcBorders>
              <w:top w:val="nil"/>
              <w:left w:val="nil"/>
              <w:bottom w:val="nil"/>
              <w:right w:val="nil"/>
            </w:tcBorders>
          </w:tcPr>
          <w:p>
            <w:pPr>
              <w:pStyle w:val="0"/>
            </w:pPr>
            <w:r>
              <w:rPr>
                <w:sz w:val="20"/>
              </w:rPr>
              <w:t xml:space="preserve">Инвестиционным проектом предусмотрены мероприятия по снижению воздействия на окружающую среду</w:t>
            </w:r>
          </w:p>
        </w:tc>
        <w:tc>
          <w:tcPr>
            <w:tcW w:w="4876" w:type="dxa"/>
            <w:tcBorders>
              <w:top w:val="nil"/>
              <w:left w:val="nil"/>
              <w:bottom w:val="nil"/>
              <w:right w:val="nil"/>
            </w:tcBorders>
          </w:tcPr>
          <w:p>
            <w:pPr>
              <w:pStyle w:val="0"/>
            </w:pPr>
            <w:r>
              <w:rPr>
                <w:sz w:val="20"/>
              </w:rPr>
              <w:t xml:space="preserve">1) технико-экономические параметры инвестиционного проекта предусматривают необходимость обеспечения очистки воды, поступающей из системы центрального водоснабжения, до уровня питьевой с целью обеспечения проживающих качественной питьевой водой (критерий направлен на достижение целевого показателя "Доля населения Российской Федерации, обеспеченного качественной питьевой водой из систем централизованного водоснабжения" федерального проекта "Чистая вода" национального проекта "Экология")</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2) технико-экономические параметры инвестиционного проекта предусматривают необходимость обеспечения раздельного сбора твердых коммунальных отходов, производимых объектом (объектами) кампуса, с целью направления их на дальнейшую переработку (критерий направлен на достижение показателя "Доля твердых коммунальных отходов, направленных на обработку (сортировку), в общей массе образованных твердых коммунальных отходов" федерального проекта "Комплексная система обращения с твердыми коммунальными отходами" национального проекта "Экология")</w:t>
            </w:r>
          </w:p>
        </w:tc>
        <w:tc>
          <w:tcPr>
            <w:tcW w:w="737" w:type="dxa"/>
            <w:tcBorders>
              <w:top w:val="nil"/>
              <w:left w:val="nil"/>
              <w:bottom w:val="nil"/>
              <w:right w:val="nil"/>
            </w:tcBorders>
          </w:tcPr>
          <w:p>
            <w:pPr>
              <w:pStyle w:val="0"/>
              <w:jc w:val="center"/>
            </w:pPr>
            <w:r>
              <w:rPr>
                <w:sz w:val="20"/>
              </w:rPr>
              <w:t xml:space="preserve">1</w:t>
            </w:r>
          </w:p>
        </w:tc>
      </w:tr>
      <w:tr>
        <w:tc>
          <w:tcPr>
            <w:gridSpan w:val="4"/>
            <w:tcW w:w="9071" w:type="dxa"/>
            <w:tcBorders>
              <w:top w:val="nil"/>
              <w:left w:val="nil"/>
              <w:bottom w:val="nil"/>
              <w:right w:val="nil"/>
            </w:tcBorders>
          </w:tcPr>
          <w:p>
            <w:pPr>
              <w:pStyle w:val="0"/>
              <w:outlineLvl w:val="3"/>
              <w:jc w:val="center"/>
            </w:pPr>
            <w:r>
              <w:rPr>
                <w:sz w:val="20"/>
              </w:rPr>
              <w:t xml:space="preserve">IV. Устойчивость к природным катастрофам, чрезвычайным происшествиям и прочим рискам</w:t>
            </w:r>
          </w:p>
        </w:tc>
      </w:tr>
      <w:tr>
        <w:tc>
          <w:tcPr>
            <w:tcW w:w="567" w:type="dxa"/>
            <w:tcBorders>
              <w:top w:val="nil"/>
              <w:left w:val="nil"/>
              <w:bottom w:val="nil"/>
              <w:right w:val="nil"/>
            </w:tcBorders>
          </w:tcPr>
          <w:p>
            <w:pPr>
              <w:pStyle w:val="0"/>
              <w:jc w:val="center"/>
            </w:pPr>
            <w:r>
              <w:rPr>
                <w:sz w:val="20"/>
              </w:rPr>
              <w:t xml:space="preserve">8.</w:t>
            </w:r>
          </w:p>
        </w:tc>
        <w:tc>
          <w:tcPr>
            <w:tcW w:w="2891" w:type="dxa"/>
            <w:tcBorders>
              <w:top w:val="nil"/>
              <w:left w:val="nil"/>
              <w:bottom w:val="nil"/>
              <w:right w:val="nil"/>
            </w:tcBorders>
          </w:tcPr>
          <w:p>
            <w:pPr>
              <w:pStyle w:val="0"/>
            </w:pPr>
            <w:r>
              <w:rPr>
                <w:sz w:val="20"/>
              </w:rPr>
              <w:t xml:space="preserve">Оценка инвестиционного проекта на предмет устойчивости к природным катастрофам и чрезвычайным происшествиям</w:t>
            </w:r>
          </w:p>
        </w:tc>
        <w:tc>
          <w:tcPr>
            <w:tcW w:w="4876" w:type="dxa"/>
            <w:tcBorders>
              <w:top w:val="nil"/>
              <w:left w:val="nil"/>
              <w:bottom w:val="nil"/>
              <w:right w:val="nil"/>
            </w:tcBorders>
          </w:tcPr>
          <w:p>
            <w:pPr>
              <w:pStyle w:val="0"/>
            </w:pPr>
            <w:r>
              <w:rPr>
                <w:sz w:val="20"/>
              </w:rPr>
              <w:t xml:space="preserve">1) инвестиционным проектом предусматривается проведение инженерно-гидрометеорологических изысканий при создании объекта (объектов) кампуса</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2) инвестиционным проектом предусматривается, что при разработке проектной документации учитываются сейсмические, климатические и другие природные влияния на объект (объекты) кампуса</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jc w:val="center"/>
            </w:pPr>
            <w:r>
              <w:rPr>
                <w:sz w:val="20"/>
              </w:rPr>
              <w:t xml:space="preserve">9.</w:t>
            </w:r>
          </w:p>
        </w:tc>
        <w:tc>
          <w:tcPr>
            <w:tcW w:w="2891" w:type="dxa"/>
            <w:tcBorders>
              <w:top w:val="nil"/>
              <w:left w:val="nil"/>
              <w:bottom w:val="nil"/>
              <w:right w:val="nil"/>
            </w:tcBorders>
          </w:tcPr>
          <w:p>
            <w:pPr>
              <w:pStyle w:val="0"/>
            </w:pPr>
            <w:r>
              <w:rPr>
                <w:sz w:val="20"/>
              </w:rPr>
              <w:t xml:space="preserve">Инвестиционным проектом предусмотрены меры по защите от последствий природных катастроф и чрезвычайных ситуаций</w:t>
            </w:r>
          </w:p>
        </w:tc>
        <w:tc>
          <w:tcPr>
            <w:tcW w:w="4876" w:type="dxa"/>
            <w:tcBorders>
              <w:top w:val="nil"/>
              <w:left w:val="nil"/>
              <w:bottom w:val="nil"/>
              <w:right w:val="nil"/>
            </w:tcBorders>
          </w:tcPr>
          <w:p>
            <w:pPr>
              <w:pStyle w:val="0"/>
            </w:pPr>
            <w:r>
              <w:rPr>
                <w:sz w:val="20"/>
              </w:rPr>
              <w:t xml:space="preserve">инвестиционный проект предусматривает инструменты по минимизации последствий наступления рисков чрезвычайных ситуаций и природных катастроф (например, резервирование средств на устранение последствий природных катастроф)</w:t>
            </w:r>
          </w:p>
        </w:tc>
        <w:tc>
          <w:tcPr>
            <w:tcW w:w="737" w:type="dxa"/>
            <w:tcBorders>
              <w:top w:val="nil"/>
              <w:left w:val="nil"/>
              <w:bottom w:val="nil"/>
              <w:right w:val="nil"/>
            </w:tcBorders>
          </w:tcPr>
          <w:p>
            <w:pPr>
              <w:pStyle w:val="0"/>
              <w:jc w:val="center"/>
            </w:pPr>
            <w:r>
              <w:rPr>
                <w:sz w:val="20"/>
              </w:rPr>
              <w:t xml:space="preserve">1</w:t>
            </w:r>
          </w:p>
        </w:tc>
      </w:tr>
      <w:tr>
        <w:tc>
          <w:tcPr>
            <w:gridSpan w:val="4"/>
            <w:tcW w:w="9071" w:type="dxa"/>
            <w:tcBorders>
              <w:top w:val="nil"/>
              <w:left w:val="nil"/>
              <w:bottom w:val="nil"/>
              <w:right w:val="nil"/>
            </w:tcBorders>
          </w:tcPr>
          <w:p>
            <w:pPr>
              <w:pStyle w:val="0"/>
              <w:outlineLvl w:val="3"/>
              <w:jc w:val="center"/>
            </w:pPr>
            <w:r>
              <w:rPr>
                <w:sz w:val="20"/>
              </w:rPr>
              <w:t xml:space="preserve">V. Интеграция социальных аспектов в инвестиционные проекты</w:t>
            </w:r>
          </w:p>
        </w:tc>
      </w:tr>
      <w:tr>
        <w:tc>
          <w:tcPr>
            <w:tcW w:w="567" w:type="dxa"/>
            <w:tcBorders>
              <w:top w:val="nil"/>
              <w:left w:val="nil"/>
              <w:bottom w:val="nil"/>
              <w:right w:val="nil"/>
            </w:tcBorders>
          </w:tcPr>
          <w:p>
            <w:pPr>
              <w:pStyle w:val="0"/>
              <w:jc w:val="center"/>
            </w:pPr>
            <w:r>
              <w:rPr>
                <w:sz w:val="20"/>
              </w:rPr>
              <w:t xml:space="preserve">10.</w:t>
            </w:r>
          </w:p>
        </w:tc>
        <w:tc>
          <w:tcPr>
            <w:tcW w:w="2891" w:type="dxa"/>
            <w:tcBorders>
              <w:top w:val="nil"/>
              <w:left w:val="nil"/>
              <w:bottom w:val="nil"/>
              <w:right w:val="nil"/>
            </w:tcBorders>
          </w:tcPr>
          <w:p>
            <w:pPr>
              <w:pStyle w:val="0"/>
            </w:pPr>
            <w:r>
              <w:rPr>
                <w:sz w:val="20"/>
              </w:rPr>
              <w:t xml:space="preserve">Инвестиционный проект предусматривает создание условий для учебы, занятий физической культурой и спортом</w:t>
            </w:r>
          </w:p>
        </w:tc>
        <w:tc>
          <w:tcPr>
            <w:tcW w:w="4876" w:type="dxa"/>
            <w:tcBorders>
              <w:top w:val="nil"/>
              <w:left w:val="nil"/>
              <w:bottom w:val="nil"/>
              <w:right w:val="nil"/>
            </w:tcBorders>
          </w:tcPr>
          <w:p>
            <w:pPr>
              <w:pStyle w:val="0"/>
            </w:pPr>
            <w:r>
              <w:rPr>
                <w:sz w:val="20"/>
              </w:rPr>
              <w:t xml:space="preserve">1) инвестиционный проект предусматривает создание не менее одного объекта капитального строительства спортивной инфраструктуры (критерий направлен на достижение целевого показателя "Доля граждан, систематически занимающихся физической культурой и спортом" национального проекта "Демография")</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2) инвестиционный проект предусматривает создание в зданиях, предназначенных для проживания и (или) размещения, не менее 20 кв. м площади на 1 место для проживания и (или) размещения</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3) инвестиционный проект предусматривает соотношение площади объекта (объектов) кампуса (за исключением площади помещений для проживания и (или) размещения) к площади помещений для проживания и (или) размещения не менее чем 1:1</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4) инвестиционный проект предусматривает создание площадей открытых общественных пространств (в том числе бульвары, площади, улицы, проезды, набережные, открытые спортивные площадки, площадки для отдыха, в том числе парки, скверы и иные объекты, не являющиеся объектами капитального строительства, доступ к которым имеет неограниченный круг лиц) в соотношении не менее 1:1 к площадям помещений для проживания и (или) размещения</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5) инвестиционный проект предусматривает создание не менее одного объекта инновационной инфраструктуры (технопарк и иные объекты инновационной инфраструктуры)</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6) инвестиционный проект предусматривает создание комфортного безбарьерного доступа ко всем объектам кампуса для маломобильных групп граждан</w:t>
            </w:r>
          </w:p>
        </w:tc>
        <w:tc>
          <w:tcPr>
            <w:tcW w:w="737" w:type="dxa"/>
            <w:tcBorders>
              <w:top w:val="nil"/>
              <w:left w:val="nil"/>
              <w:bottom w:val="nil"/>
              <w:right w:val="nil"/>
            </w:tcBorders>
          </w:tcPr>
          <w:p>
            <w:pPr>
              <w:pStyle w:val="0"/>
              <w:jc w:val="center"/>
            </w:pPr>
            <w:r>
              <w:rPr>
                <w:sz w:val="20"/>
              </w:rPr>
              <w:t xml:space="preserve">1</w:t>
            </w:r>
          </w:p>
        </w:tc>
      </w:tr>
      <w:tr>
        <w:tc>
          <w:tcPr>
            <w:gridSpan w:val="4"/>
            <w:tcW w:w="9071" w:type="dxa"/>
            <w:tcBorders>
              <w:top w:val="nil"/>
              <w:left w:val="nil"/>
              <w:bottom w:val="nil"/>
              <w:right w:val="nil"/>
            </w:tcBorders>
          </w:tcPr>
          <w:p>
            <w:pPr>
              <w:pStyle w:val="0"/>
              <w:outlineLvl w:val="3"/>
              <w:jc w:val="center"/>
            </w:pPr>
            <w:r>
              <w:rPr>
                <w:sz w:val="20"/>
              </w:rPr>
              <w:t xml:space="preserve">VI. Повышение качества администрирования инфраструктуры</w:t>
            </w:r>
          </w:p>
        </w:tc>
      </w:tr>
      <w:tr>
        <w:tc>
          <w:tcPr>
            <w:tcW w:w="567" w:type="dxa"/>
            <w:tcBorders>
              <w:top w:val="nil"/>
              <w:left w:val="nil"/>
              <w:bottom w:val="nil"/>
              <w:right w:val="nil"/>
            </w:tcBorders>
          </w:tcPr>
          <w:p>
            <w:pPr>
              <w:pStyle w:val="0"/>
              <w:jc w:val="center"/>
            </w:pPr>
            <w:r>
              <w:rPr>
                <w:sz w:val="20"/>
              </w:rPr>
              <w:t xml:space="preserve">11.</w:t>
            </w:r>
          </w:p>
        </w:tc>
        <w:tc>
          <w:tcPr>
            <w:tcW w:w="2891" w:type="dxa"/>
            <w:tcBorders>
              <w:top w:val="nil"/>
              <w:left w:val="nil"/>
              <w:bottom w:val="nil"/>
              <w:right w:val="nil"/>
            </w:tcBorders>
          </w:tcPr>
          <w:p>
            <w:pPr>
              <w:pStyle w:val="0"/>
            </w:pPr>
            <w:r>
              <w:rPr>
                <w:sz w:val="20"/>
              </w:rPr>
              <w:t xml:space="preserve">Обеспечение открытого доступа к информации об инвестиционном проекте на протяжении всего жизненного цикла инвестиционного проекта</w:t>
            </w:r>
          </w:p>
        </w:tc>
        <w:tc>
          <w:tcPr>
            <w:tcW w:w="4876" w:type="dxa"/>
            <w:tcBorders>
              <w:top w:val="nil"/>
              <w:left w:val="nil"/>
              <w:bottom w:val="nil"/>
              <w:right w:val="nil"/>
            </w:tcBorders>
          </w:tcPr>
          <w:p>
            <w:pPr>
              <w:pStyle w:val="0"/>
            </w:pPr>
            <w:r>
              <w:rPr>
                <w:sz w:val="20"/>
              </w:rPr>
              <w:t xml:space="preserve">1) инвестиционный проект предусматривает создание, функционирование и регулярное обновление официального сайта инвестиционного проекта в информационно-телекоммуникационной сети "Интернет"</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nil"/>
              <w:right w:val="nil"/>
            </w:tcBorders>
          </w:tcPr>
          <w:p>
            <w:pPr>
              <w:pStyle w:val="0"/>
            </w:pPr>
            <w:r>
              <w:rPr>
                <w:sz w:val="20"/>
              </w:rPr>
            </w:r>
          </w:p>
        </w:tc>
        <w:tc>
          <w:tcPr>
            <w:tcW w:w="2891" w:type="dxa"/>
            <w:tcBorders>
              <w:top w:val="nil"/>
              <w:left w:val="nil"/>
              <w:bottom w:val="nil"/>
              <w:right w:val="nil"/>
            </w:tcBorders>
          </w:tcPr>
          <w:p>
            <w:pPr>
              <w:pStyle w:val="0"/>
            </w:pPr>
            <w:r>
              <w:rPr>
                <w:sz w:val="20"/>
              </w:rPr>
            </w:r>
          </w:p>
        </w:tc>
        <w:tc>
          <w:tcPr>
            <w:tcW w:w="4876" w:type="dxa"/>
            <w:tcBorders>
              <w:top w:val="nil"/>
              <w:left w:val="nil"/>
              <w:bottom w:val="nil"/>
              <w:right w:val="nil"/>
            </w:tcBorders>
          </w:tcPr>
          <w:p>
            <w:pPr>
              <w:pStyle w:val="0"/>
            </w:pPr>
            <w:r>
              <w:rPr>
                <w:sz w:val="20"/>
              </w:rPr>
              <w:t xml:space="preserve">2) инвестиционный проект предусматривает оптимальное зонирование территории и объекта (объектов) кампуса для доступа разным категориям пользователей с использованием систем контроля доступа и использованием электронной пропускной системы или устройств ввода идентификационных признаков</w:t>
            </w:r>
          </w:p>
        </w:tc>
        <w:tc>
          <w:tcPr>
            <w:tcW w:w="737" w:type="dxa"/>
            <w:tcBorders>
              <w:top w:val="nil"/>
              <w:left w:val="nil"/>
              <w:bottom w:val="nil"/>
              <w:right w:val="nil"/>
            </w:tcBorders>
          </w:tcPr>
          <w:p>
            <w:pPr>
              <w:pStyle w:val="0"/>
              <w:jc w:val="center"/>
            </w:pPr>
            <w:r>
              <w:rPr>
                <w:sz w:val="20"/>
              </w:rPr>
              <w:t xml:space="preserve">1</w:t>
            </w:r>
          </w:p>
        </w:tc>
      </w:tr>
      <w:tr>
        <w:tc>
          <w:tcPr>
            <w:tcW w:w="567" w:type="dxa"/>
            <w:tcBorders>
              <w:top w:val="nil"/>
              <w:left w:val="nil"/>
              <w:bottom w:val="single" w:sz="4"/>
              <w:right w:val="nil"/>
            </w:tcBorders>
          </w:tcPr>
          <w:p>
            <w:pPr>
              <w:pStyle w:val="0"/>
            </w:pPr>
            <w:r>
              <w:rPr>
                <w:sz w:val="20"/>
              </w:rPr>
            </w:r>
          </w:p>
        </w:tc>
        <w:tc>
          <w:tcPr>
            <w:tcW w:w="2891" w:type="dxa"/>
            <w:tcBorders>
              <w:top w:val="nil"/>
              <w:left w:val="nil"/>
              <w:bottom w:val="single" w:sz="4"/>
              <w:right w:val="nil"/>
            </w:tcBorders>
          </w:tcPr>
          <w:p>
            <w:pPr>
              <w:pStyle w:val="0"/>
            </w:pPr>
            <w:r>
              <w:rPr>
                <w:sz w:val="20"/>
              </w:rPr>
            </w:r>
          </w:p>
        </w:tc>
        <w:tc>
          <w:tcPr>
            <w:tcW w:w="4876" w:type="dxa"/>
            <w:tcBorders>
              <w:top w:val="nil"/>
              <w:left w:val="nil"/>
              <w:bottom w:val="single" w:sz="4"/>
              <w:right w:val="nil"/>
            </w:tcBorders>
          </w:tcPr>
          <w:p>
            <w:pPr>
              <w:pStyle w:val="0"/>
            </w:pPr>
            <w:r>
              <w:rPr>
                <w:sz w:val="20"/>
              </w:rPr>
              <w:t xml:space="preserve">3) инвестиционный проект предусматривает управление кампусом и предоставление услуг на его территории в цифровом формате, функционирует единая служба обслуживания (информационный портал)</w:t>
            </w:r>
          </w:p>
        </w:tc>
        <w:tc>
          <w:tcPr>
            <w:tcW w:w="737" w:type="dxa"/>
            <w:tcBorders>
              <w:top w:val="nil"/>
              <w:left w:val="nil"/>
              <w:bottom w:val="single" w:sz="4"/>
              <w:right w:val="nil"/>
            </w:tcBorders>
          </w:tcPr>
          <w:p>
            <w:pPr>
              <w:pStyle w:val="0"/>
              <w:jc w:val="center"/>
            </w:pPr>
            <w:r>
              <w:rPr>
                <w:sz w:val="20"/>
              </w:rPr>
              <w:t xml:space="preserve">1</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Утверждены</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28 июля 2021 г. N 1268</w:t>
      </w:r>
    </w:p>
    <w:p>
      <w:pPr>
        <w:pStyle w:val="0"/>
        <w:jc w:val="both"/>
      </w:pPr>
      <w:r>
        <w:rPr>
          <w:sz w:val="20"/>
        </w:rPr>
      </w:r>
    </w:p>
    <w:bookmarkStart w:id="297" w:name="P297"/>
    <w:bookmarkEnd w:id="297"/>
    <w:p>
      <w:pPr>
        <w:pStyle w:val="2"/>
        <w:jc w:val="center"/>
      </w:pPr>
      <w:r>
        <w:rPr>
          <w:sz w:val="20"/>
        </w:rPr>
        <w:t xml:space="preserve">ПРАВИЛА</w:t>
      </w:r>
    </w:p>
    <w:p>
      <w:pPr>
        <w:pStyle w:val="2"/>
        <w:jc w:val="center"/>
      </w:pPr>
      <w:r>
        <w:rPr>
          <w:sz w:val="20"/>
        </w:rPr>
        <w:t xml:space="preserve">ПРЕДОСТАВЛЕНИЯ И РАСПРЕДЕЛЕНИЯ ИНЫХ МЕЖБЮДЖЕТНЫХ</w:t>
      </w:r>
    </w:p>
    <w:p>
      <w:pPr>
        <w:pStyle w:val="2"/>
        <w:jc w:val="center"/>
      </w:pPr>
      <w:r>
        <w:rPr>
          <w:sz w:val="20"/>
        </w:rPr>
        <w:t xml:space="preserve">ТРАНСФЕРТОВ ИЗ ФЕДЕРАЛЬНОГО БЮДЖЕТА БЮДЖЕТАМ СУБЪЕКТОВ</w:t>
      </w:r>
    </w:p>
    <w:p>
      <w:pPr>
        <w:pStyle w:val="2"/>
        <w:jc w:val="center"/>
      </w:pPr>
      <w:r>
        <w:rPr>
          <w:sz w:val="20"/>
        </w:rPr>
        <w:t xml:space="preserve">РОССИЙСКОЙ ФЕДЕРАЦИИ В ЦЕЛЯХ СОФИНАНСИРОВАНИЯ РАСХОДНЫХ</w:t>
      </w:r>
    </w:p>
    <w:p>
      <w:pPr>
        <w:pStyle w:val="2"/>
        <w:jc w:val="center"/>
      </w:pPr>
      <w:r>
        <w:rPr>
          <w:sz w:val="20"/>
        </w:rPr>
        <w:t xml:space="preserve">ОБЯЗАТЕЛЬСТВ СУБЪЕКТОВ РОССИЙСКОЙ ФЕДЕРАЦИИ, ВОЗНИКАЮЩИХ</w:t>
      </w:r>
    </w:p>
    <w:p>
      <w:pPr>
        <w:pStyle w:val="2"/>
        <w:jc w:val="center"/>
      </w:pPr>
      <w:r>
        <w:rPr>
          <w:sz w:val="20"/>
        </w:rPr>
        <w:t xml:space="preserve">ПРИ РЕАЛИЗАЦИИ РЕГИОНАЛЬНЫХ ИНВЕСТИЦИОННЫХ ПРОЕКТОВ</w:t>
      </w:r>
    </w:p>
    <w:p>
      <w:pPr>
        <w:pStyle w:val="2"/>
        <w:jc w:val="center"/>
      </w:pPr>
      <w:r>
        <w:rPr>
          <w:sz w:val="20"/>
        </w:rPr>
        <w:t xml:space="preserve">ПО СОЗДАНИЮ КАМПУСОВ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52"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color w:val="392c69"/>
              </w:rPr>
              <w:t xml:space="preserve"> Правительства РФ от 26.07.2023 N 1213)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bookmarkStart w:id="307" w:name="P307"/>
    <w:bookmarkEnd w:id="307"/>
    <w:p>
      <w:pPr>
        <w:pStyle w:val="0"/>
        <w:ind w:firstLine="540"/>
        <w:jc w:val="both"/>
      </w:pPr>
      <w:r>
        <w:rPr>
          <w:sz w:val="20"/>
        </w:rPr>
        <w:t xml:space="preserve">1. Иные межбюджетные трансферты из федерального бюджета предоставляются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 в рамках региональных проектов, обеспечивающих достижение целей, показателей и результатов федерального проекта "Создание сети современных кампусов" национального проекта "Наука и университеты" (далее - иные межбюджетные трансферты).</w:t>
      </w:r>
    </w:p>
    <w:p>
      <w:pPr>
        <w:pStyle w:val="0"/>
        <w:jc w:val="both"/>
      </w:pPr>
      <w:r>
        <w:rPr>
          <w:sz w:val="20"/>
        </w:rPr>
        <w:t xml:space="preserve">(в ред. </w:t>
      </w:r>
      <w:hyperlink w:history="0" r:id="rId53"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bookmarkStart w:id="309" w:name="P309"/>
    <w:bookmarkEnd w:id="309"/>
    <w:p>
      <w:pPr>
        <w:pStyle w:val="0"/>
        <w:spacing w:before="200" w:line-rule="auto"/>
        <w:ind w:firstLine="540"/>
        <w:jc w:val="both"/>
      </w:pPr>
      <w:r>
        <w:rPr>
          <w:sz w:val="20"/>
        </w:rPr>
        <w:t xml:space="preserve">2. Понятия "инвестиционный проект", "кампус", "капитальный грант" и "соглашение", используемые в настоящих Правилах, применяются в значениях, установленных </w:t>
      </w:r>
      <w:hyperlink w:history="0" w:anchor="P46" w:tooltip="ПОЛОЖЕНИЕ">
        <w:r>
          <w:rPr>
            <w:sz w:val="20"/>
            <w:color w:val="0000ff"/>
          </w:rPr>
          <w:t xml:space="preserve">Положением</w:t>
        </w:r>
      </w:hyperlink>
      <w:r>
        <w:rPr>
          <w:sz w:val="20"/>
        </w:rPr>
        <w:t xml:space="preserve">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утвержденным постановлением Правительства Российской Федерации от 28 июля 2021 г. N 1268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jc w:val="both"/>
      </w:pPr>
      <w:r>
        <w:rPr>
          <w:sz w:val="20"/>
        </w:rPr>
        <w:t xml:space="preserve">(п. 2 в ред. </w:t>
      </w:r>
      <w:hyperlink w:history="0" r:id="rId54"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3. Уровень софинансирования расходного обязательства субъекта Российской Федерации по предоставлению концессионеру капитального гранта, принимаемый для расчета размера иного межбюджетного трансферта в соответствии с настоящими Правилами, не может составлять больше 95 процентов общего объема расходного обязательства субъекта Российской Федерации по предоставлению концессионеру капитального гранта. При этом размер иного межбюджетного трансферта не должен превышать размер, рассчитанный в соответствии с </w:t>
      </w:r>
      <w:hyperlink w:history="0" w:anchor="P103" w:tooltip="МЕТОДИКА">
        <w:r>
          <w:rPr>
            <w:sz w:val="20"/>
            <w:color w:val="0000ff"/>
          </w:rPr>
          <w:t xml:space="preserve">методикой</w:t>
        </w:r>
      </w:hyperlink>
      <w:r>
        <w:rPr>
          <w:sz w:val="20"/>
        </w:rPr>
        <w:t xml:space="preserve"> расчета предельного объема средств, предоставляемых из федерального бюджета на финансовое обеспечение (софинансирование) реализации инвестиционного проекта, установленной приложением к Положению, указанному в </w:t>
      </w:r>
      <w:hyperlink w:history="0" w:anchor="P309" w:tooltip="2. Понятия &quot;инвестиционный проект&quot;, &quot;кампус&quot;, &quot;капитальный грант&quot; и &quot;соглашение&quot;, используемые в настоящих Правилах, применяются в значениях, установленных Положением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quot;Создание сети современных кампусов&quot; национального проекта &quot;Наука и университеты&quot;, утвержденным постановлением Правительства Российской Федерации от 28 июля 2021 г. N 1268 &quot;О реализац...">
        <w:r>
          <w:rPr>
            <w:sz w:val="20"/>
            <w:color w:val="0000ff"/>
          </w:rPr>
          <w:t xml:space="preserve">пункте 2</w:t>
        </w:r>
      </w:hyperlink>
      <w:r>
        <w:rPr>
          <w:sz w:val="20"/>
        </w:rPr>
        <w:t xml:space="preserve"> настоящих Правил (далее - методика).</w:t>
      </w:r>
    </w:p>
    <w:p>
      <w:pPr>
        <w:pStyle w:val="0"/>
        <w:jc w:val="both"/>
      </w:pPr>
      <w:r>
        <w:rPr>
          <w:sz w:val="20"/>
        </w:rPr>
        <w:t xml:space="preserve">(в ред. </w:t>
      </w:r>
      <w:hyperlink w:history="0" r:id="rId55"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4. Иные межбюджетные трансферты предоставляются в пределах лимитов бюджетных обязательств, доведенных до Министерства науки и высшего образования Российской Федерации как получателя средств федерального бюджета на предоставление иных межбюджетных трансфертов на цели, указанные в </w:t>
      </w:r>
      <w:hyperlink w:history="0" w:anchor="P307" w:tooltip="1. Иные межбюджетные трансферты из федерального бюджета предоставляются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 в рамках региональных проектов, обеспечивающих достижение целей, показателей и результатов федерального проекта &quot;Создание сети современных кампусов&quot; национального проекта &quot;Наука и университеты&quot; (далее - иные межбюджетные трансферты).">
        <w:r>
          <w:rPr>
            <w:sz w:val="20"/>
            <w:color w:val="0000ff"/>
          </w:rPr>
          <w:t xml:space="preserve">пункте 1</w:t>
        </w:r>
      </w:hyperlink>
      <w:r>
        <w:rPr>
          <w:sz w:val="20"/>
        </w:rPr>
        <w:t xml:space="preserve"> настоящих Правил.</w:t>
      </w:r>
    </w:p>
    <w:p>
      <w:pPr>
        <w:pStyle w:val="0"/>
        <w:spacing w:before="200" w:line-rule="auto"/>
        <w:ind w:firstLine="540"/>
        <w:jc w:val="both"/>
      </w:pPr>
      <w:r>
        <w:rPr>
          <w:sz w:val="20"/>
        </w:rPr>
        <w:t xml:space="preserve">5. Предоставление иных межбюджетных трансфертов осуществляется на основании соглашений о предоставлении иных межбюджетных трансфертов, заключаемых Министерством науки и высшего образования Российской Федерации и высшими исполнительными органами субъектов Российской Федерации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w:t>
      </w:r>
      <w:hyperlink w:history="0" r:id="rId56" w:tooltip="Справочная информация: &quot;Типовые формы договоров (соглашений) о предоставлении субсидий, иных межбюджетных трансфертов&quot; (Материал подготовлен специалистами КонсультантПлюс) {КонсультантПлюс}">
        <w:r>
          <w:rPr>
            <w:sz w:val="20"/>
            <w:color w:val="0000ff"/>
          </w:rPr>
          <w:t xml:space="preserve">формой</w:t>
        </w:r>
      </w:hyperlink>
      <w:r>
        <w:rPr>
          <w:sz w:val="20"/>
        </w:rPr>
        <w:t xml:space="preserve">, утвержденной Министерством финансов Российской Федерации (далее - соглашение о предоставлении иных межбюджетных трансфертов).</w:t>
      </w:r>
    </w:p>
    <w:p>
      <w:pPr>
        <w:pStyle w:val="0"/>
        <w:jc w:val="both"/>
      </w:pPr>
      <w:r>
        <w:rPr>
          <w:sz w:val="20"/>
        </w:rPr>
        <w:t xml:space="preserve">(в ред. </w:t>
      </w:r>
      <w:hyperlink w:history="0" r:id="rId5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6. Иные межбюджетные трансферты предоставляются по результатам отбора субъектов Российской Федерации, проводимого Министерством науки и высшего образования Российской Федерации на основании заявок, поданных субъектами Российской Федерации в Министерство науки и высшего образования Российской Федерации в произвольной письменной форме с приложением копий документов, указанных в </w:t>
      </w:r>
      <w:hyperlink w:history="0" w:anchor="P319" w:tooltip="7. Критериями отбора субъектов Российской Федерации для предоставления иного межбюджетного трансферта являются:">
        <w:r>
          <w:rPr>
            <w:sz w:val="20"/>
            <w:color w:val="0000ff"/>
          </w:rPr>
          <w:t xml:space="preserve">подпункте "б" пункта 7</w:t>
        </w:r>
      </w:hyperlink>
      <w:r>
        <w:rPr>
          <w:sz w:val="20"/>
        </w:rPr>
        <w:t xml:space="preserve"> настоящих Правил, а также финансово-экономической модели инвестиционного проекта, согласованной с Министерством науки и высшего образования Российской Федерации.</w:t>
      </w:r>
    </w:p>
    <w:p>
      <w:pPr>
        <w:pStyle w:val="0"/>
        <w:jc w:val="both"/>
      </w:pPr>
      <w:r>
        <w:rPr>
          <w:sz w:val="20"/>
        </w:rPr>
        <w:t xml:space="preserve">(в ред. </w:t>
      </w:r>
      <w:hyperlink w:history="0" r:id="rId58"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Абзац утратил силу. - </w:t>
      </w:r>
      <w:hyperlink w:history="0" r:id="rId59"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w:t>
        </w:r>
      </w:hyperlink>
      <w:r>
        <w:rPr>
          <w:sz w:val="20"/>
        </w:rPr>
        <w:t xml:space="preserve"> Правительства РФ от 26.07.2023 N 1213.</w:t>
      </w:r>
    </w:p>
    <w:bookmarkStart w:id="319" w:name="P319"/>
    <w:bookmarkEnd w:id="319"/>
    <w:p>
      <w:pPr>
        <w:pStyle w:val="0"/>
        <w:spacing w:before="200" w:line-rule="auto"/>
        <w:ind w:firstLine="540"/>
        <w:jc w:val="both"/>
      </w:pPr>
      <w:r>
        <w:rPr>
          <w:sz w:val="20"/>
        </w:rPr>
        <w:t xml:space="preserve">7. Критериями отбора субъектов Российской Федерации для предоставления иного межбюджетного трансферта являются:</w:t>
      </w:r>
    </w:p>
    <w:p>
      <w:pPr>
        <w:pStyle w:val="0"/>
        <w:spacing w:before="200" w:line-rule="auto"/>
        <w:ind w:firstLine="540"/>
        <w:jc w:val="both"/>
      </w:pPr>
      <w:r>
        <w:rPr>
          <w:sz w:val="20"/>
        </w:rPr>
        <w:t xml:space="preserve">а) наличие решения Министерства науки и высшего образования Российской Федерации об определении инвестиционного проекта;</w:t>
      </w:r>
    </w:p>
    <w:p>
      <w:pPr>
        <w:pStyle w:val="0"/>
        <w:spacing w:before="200" w:line-rule="auto"/>
        <w:ind w:firstLine="540"/>
        <w:jc w:val="both"/>
      </w:pPr>
      <w:r>
        <w:rPr>
          <w:sz w:val="20"/>
        </w:rPr>
        <w:t xml:space="preserve">б) наличие положительного заключения государственной экспертизы проектной документации и (или) результатов инженерных изысканий, включая проверку достоверности определения сметной стоимости строительства и (или) реконструкции объекта (объектов) капитального строительства кампуса (далее - объект (объекты) кампуса), в отношении всех объектов кампуса или в случае выделения отдельных этапов строительства (реконструкции) объекта (объектов) кампуса - в отношении объекта (объектов) кампуса, включенного (включенных) в первый этап строительства (реконструкции).</w:t>
      </w:r>
    </w:p>
    <w:p>
      <w:pPr>
        <w:pStyle w:val="0"/>
        <w:jc w:val="both"/>
      </w:pPr>
      <w:r>
        <w:rPr>
          <w:sz w:val="20"/>
        </w:rPr>
        <w:t xml:space="preserve">(п. 7 в ред. </w:t>
      </w:r>
      <w:hyperlink w:history="0" r:id="rId60"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8. Условиями предоставления иного межбюджетного трансферта являются:</w:t>
      </w:r>
    </w:p>
    <w:bookmarkStart w:id="324" w:name="P324"/>
    <w:bookmarkEnd w:id="324"/>
    <w:p>
      <w:pPr>
        <w:pStyle w:val="0"/>
        <w:spacing w:before="200" w:line-rule="auto"/>
        <w:ind w:firstLine="540"/>
        <w:jc w:val="both"/>
      </w:pPr>
      <w:r>
        <w:rPr>
          <w:sz w:val="20"/>
        </w:rPr>
        <w:t xml:space="preserve">а) наличие в субъекте Российской Федерации утвержденных в установленном порядке паспортов региональных проектов, обеспечивающих достижение целей, показателей и результатов федерального проекта "Создание сети современных кампусов" национального проекта "Наука и университеты" и включающих в том числе перечень мероприятий, в целях софинансирования которых предоставляются иные межбюджетные трансферты;</w:t>
      </w:r>
    </w:p>
    <w:p>
      <w:pPr>
        <w:pStyle w:val="0"/>
        <w:jc w:val="both"/>
      </w:pPr>
      <w:r>
        <w:rPr>
          <w:sz w:val="20"/>
        </w:rPr>
        <w:t xml:space="preserve">(пп. "а" в ред. </w:t>
      </w:r>
      <w:hyperlink w:history="0" r:id="rId61"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б) наличие в бюджете субъекта Российской Федерации бюджетных ассигнований на исполнение расходных обязательств субъекта Российской Федерации, в целях софинансирования которых предоставляется иной межбюджетный трансферт;</w:t>
      </w:r>
    </w:p>
    <w:bookmarkStart w:id="327" w:name="P327"/>
    <w:bookmarkEnd w:id="327"/>
    <w:p>
      <w:pPr>
        <w:pStyle w:val="0"/>
        <w:spacing w:before="200" w:line-rule="auto"/>
        <w:ind w:firstLine="540"/>
        <w:jc w:val="both"/>
      </w:pPr>
      <w:r>
        <w:rPr>
          <w:sz w:val="20"/>
        </w:rPr>
        <w:t xml:space="preserve">в) принятие органом государственной власти субъекта Российской Федерации решения о заключении соглашения в целях реализации инвестиционного проекта;</w:t>
      </w:r>
    </w:p>
    <w:p>
      <w:pPr>
        <w:pStyle w:val="0"/>
        <w:spacing w:before="200" w:line-rule="auto"/>
        <w:ind w:firstLine="540"/>
        <w:jc w:val="both"/>
      </w:pPr>
      <w:r>
        <w:rPr>
          <w:sz w:val="20"/>
        </w:rPr>
        <w:t xml:space="preserve">г) заключение в соответствии с решением, указанным в </w:t>
      </w:r>
      <w:hyperlink w:history="0" w:anchor="P327" w:tooltip="в) принятие органом государственной власти субъекта Российской Федерации решения о заключении соглашения в целях реализации инвестиционного проекта;">
        <w:r>
          <w:rPr>
            <w:sz w:val="20"/>
            <w:color w:val="0000ff"/>
          </w:rPr>
          <w:t xml:space="preserve">подпункте "в"</w:t>
        </w:r>
      </w:hyperlink>
      <w:r>
        <w:rPr>
          <w:sz w:val="20"/>
        </w:rPr>
        <w:t xml:space="preserve"> настоящего пункта, соглашения;</w:t>
      </w:r>
    </w:p>
    <w:p>
      <w:pPr>
        <w:pStyle w:val="0"/>
        <w:spacing w:before="200" w:line-rule="auto"/>
        <w:ind w:firstLine="540"/>
        <w:jc w:val="both"/>
      </w:pPr>
      <w:r>
        <w:rPr>
          <w:sz w:val="20"/>
        </w:rPr>
        <w:t xml:space="preserve">д) предоставление субъектом Российской Федерации концессионеру земельного участка (земельных участков), предназначенного для осуществления деятельности, предусмотренной соглашением;</w:t>
      </w:r>
    </w:p>
    <w:p>
      <w:pPr>
        <w:pStyle w:val="0"/>
        <w:jc w:val="both"/>
      </w:pPr>
      <w:r>
        <w:rPr>
          <w:sz w:val="20"/>
        </w:rPr>
        <w:t xml:space="preserve">(в ред. </w:t>
      </w:r>
      <w:hyperlink w:history="0" r:id="rId62"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bookmarkStart w:id="331" w:name="P331"/>
    <w:bookmarkEnd w:id="331"/>
    <w:p>
      <w:pPr>
        <w:pStyle w:val="0"/>
        <w:spacing w:before="200" w:line-rule="auto"/>
        <w:ind w:firstLine="540"/>
        <w:jc w:val="both"/>
      </w:pPr>
      <w:r>
        <w:rPr>
          <w:sz w:val="20"/>
        </w:rPr>
        <w:t xml:space="preserve">е) наличие положительного заключения государственной экспертизы проектной документации и (или) результатов инженерных изысканий, включая проверку достоверности определения сметной стоимости строительства и (или) реконструкции объекта (объектов) кампуса, включенного (включенных) в последующие этапы строительства (реконструкции) (в случае выделения отдельных этапов строительства (реконструкции), или в отношении всех объектов кампуса;</w:t>
      </w:r>
    </w:p>
    <w:p>
      <w:pPr>
        <w:pStyle w:val="0"/>
        <w:jc w:val="both"/>
      </w:pPr>
      <w:r>
        <w:rPr>
          <w:sz w:val="20"/>
        </w:rPr>
        <w:t xml:space="preserve">(пп. "е" в ред. </w:t>
      </w:r>
      <w:hyperlink w:history="0" r:id="rId63"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ж) заключение соглашения о предоставлении иного межбюджетного трансферта.</w:t>
      </w:r>
    </w:p>
    <w:p>
      <w:pPr>
        <w:pStyle w:val="0"/>
        <w:spacing w:before="200" w:line-rule="auto"/>
        <w:ind w:firstLine="540"/>
        <w:jc w:val="both"/>
      </w:pPr>
      <w:r>
        <w:rPr>
          <w:sz w:val="20"/>
        </w:rPr>
        <w:t xml:space="preserve">9. Размер иного межбюджетного трансферта (T</w:t>
      </w:r>
      <w:r>
        <w:rPr>
          <w:sz w:val="20"/>
          <w:vertAlign w:val="subscript"/>
        </w:rPr>
        <w:t xml:space="preserve">i</w:t>
      </w:r>
      <w:r>
        <w:rPr>
          <w:sz w:val="20"/>
        </w:rPr>
        <w:t xml:space="preserve">), предоставляемого i-му субъекту Российской Федерации, определяется по формуле:</w:t>
      </w:r>
    </w:p>
    <w:p>
      <w:pPr>
        <w:pStyle w:val="0"/>
        <w:jc w:val="both"/>
      </w:pPr>
      <w:r>
        <w:rPr>
          <w:sz w:val="20"/>
        </w:rPr>
        <w:t xml:space="preserve">(в ред. </w:t>
      </w:r>
      <w:hyperlink w:history="0" r:id="rId64"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jc w:val="both"/>
      </w:pPr>
      <w:r>
        <w:rPr>
          <w:sz w:val="20"/>
        </w:rPr>
      </w:r>
    </w:p>
    <w:p>
      <w:pPr>
        <w:pStyle w:val="0"/>
        <w:jc w:val="center"/>
      </w:pPr>
      <w:r>
        <w:rPr>
          <w:position w:val="-10"/>
        </w:rPr>
        <w:drawing>
          <wp:inline distT="0" distB="0" distL="0" distR="0">
            <wp:extent cx="800100"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val="0"/>
                        </a:ext>
                      </a:extLst>
                    </a:blip>
                    <a:srcRect/>
                    <a:stretch>
                      <a:fillRect/>
                    </a:stretch>
                  </pic:blipFill>
                  <pic:spPr bwMode="auto">
                    <a:xfrm>
                      <a:off x="0" y="0"/>
                      <a:ext cx="800100" cy="25717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n - количество инвестиционных проектов i-го субъекта Российской Федерации, прошедших в соответствующем финансовом году процедуру отбора субъектов Российской Федерации в соответствии с критериями отбора, установленными </w:t>
      </w:r>
      <w:hyperlink w:history="0" w:anchor="P319" w:tooltip="7. Критериями отбора субъектов Российской Федерации для предоставления иного межбюджетного трансферта являются:">
        <w:r>
          <w:rPr>
            <w:sz w:val="20"/>
            <w:color w:val="0000ff"/>
          </w:rPr>
          <w:t xml:space="preserve">пунктом 7</w:t>
        </w:r>
      </w:hyperlink>
      <w:r>
        <w:rPr>
          <w:sz w:val="20"/>
        </w:rPr>
        <w:t xml:space="preserve"> настоящих Правил;</w:t>
      </w:r>
    </w:p>
    <w:p>
      <w:pPr>
        <w:pStyle w:val="0"/>
        <w:spacing w:before="200" w:line-rule="auto"/>
        <w:ind w:firstLine="540"/>
        <w:jc w:val="both"/>
      </w:pPr>
      <w:r>
        <w:rPr>
          <w:sz w:val="20"/>
        </w:rPr>
        <w:t xml:space="preserve">V</w:t>
      </w:r>
      <w:r>
        <w:rPr>
          <w:sz w:val="20"/>
          <w:vertAlign w:val="subscript"/>
        </w:rPr>
        <w:t xml:space="preserve">i</w:t>
      </w:r>
      <w:r>
        <w:rPr>
          <w:sz w:val="20"/>
        </w:rPr>
        <w:t xml:space="preserve"> - предельный объем средств, предоставляемых из федерального бюджета в форме иного межбюджетного трансферта на финансовое обеспечение (софинансирование) реализации j-го инвестиционного проекта, рассчитанный в соответствии с </w:t>
      </w:r>
      <w:hyperlink w:history="0" w:anchor="P103" w:tooltip="МЕТОДИКА">
        <w:r>
          <w:rPr>
            <w:sz w:val="20"/>
            <w:color w:val="0000ff"/>
          </w:rPr>
          <w:t xml:space="preserve">методикой</w:t>
        </w:r>
      </w:hyperlink>
      <w:r>
        <w:rPr>
          <w:sz w:val="20"/>
        </w:rPr>
        <w:t xml:space="preserve">.</w:t>
      </w:r>
    </w:p>
    <w:p>
      <w:pPr>
        <w:pStyle w:val="0"/>
        <w:spacing w:before="200" w:line-rule="auto"/>
        <w:ind w:firstLine="540"/>
        <w:jc w:val="both"/>
      </w:pPr>
      <w:r>
        <w:rPr>
          <w:sz w:val="20"/>
        </w:rPr>
        <w:t xml:space="preserve">В случае если объем иного межбюджетного трансферта, запрашиваемого субъектом Российской Федерации для софинансирования его расходного обязательства по предоставлению концессионеру капитального гранта, меньше значения V</w:t>
      </w:r>
      <w:r>
        <w:rPr>
          <w:sz w:val="20"/>
          <w:vertAlign w:val="subscript"/>
        </w:rPr>
        <w:t xml:space="preserve">i</w:t>
      </w:r>
      <w:r>
        <w:rPr>
          <w:sz w:val="20"/>
        </w:rPr>
        <w:t xml:space="preserve">, иной межбюджетный трансферт предоставляется субъекту Российской Федерации в запрашиваемом им объеме с учетом положительного заключения государственной экспертизы проектной документации и (или) результатов инженерных изысканий, включая проверку достоверности определения сметной стоимости строительства и (или) реконструкции объекта (объектов) кампуса. При этом финансово-экономическая модель инвестиционного проекта, в которой определен размер капитального гранта, должна быть согласована Министерством науки и высшего образования Российской Федерации.</w:t>
      </w:r>
    </w:p>
    <w:p>
      <w:pPr>
        <w:pStyle w:val="0"/>
        <w:jc w:val="both"/>
      </w:pPr>
      <w:r>
        <w:rPr>
          <w:sz w:val="20"/>
        </w:rPr>
        <w:t xml:space="preserve">(в ред. </w:t>
      </w:r>
      <w:hyperlink w:history="0" r:id="rId66"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В случае если инвестиционный проект предусматривает несколько этапов строительства и (или) реконструкции объекта (объектов) кампуса, выделяются части иного межбюджетного трансферта, подлежащие предоставлению на реализацию каждого этапа строительства и (или) реконструкции объекта (объектов) кампуса, на основании финансово-экономической модели инвестиционного проекта, предусматривающей пропорциональное распределение средств бюджета субъекта Российской Федерации, источником софинансирования которых является иной межбюджетный трансферт, в соответствии с предусмотренными этапами строительства и (или) реконструкции объекта (объектов) кампуса.</w:t>
      </w:r>
    </w:p>
    <w:p>
      <w:pPr>
        <w:pStyle w:val="0"/>
        <w:jc w:val="both"/>
      </w:pPr>
      <w:r>
        <w:rPr>
          <w:sz w:val="20"/>
        </w:rPr>
        <w:t xml:space="preserve">(абзац введен </w:t>
      </w:r>
      <w:hyperlink w:history="0" r:id="rId6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Финансово-экономическая модель инвестиционного проекта, актуализированная с учетом положительного заключения государственной экспертизы проектной документации и (или) результатов инженерных изысканий, включая проверку достоверности определения сметной стоимости строительства и (или) реконструкции объекта (объектов) кампуса, согласовывается с Министерством науки и высшего образования Российской Федерации.</w:t>
      </w:r>
    </w:p>
    <w:p>
      <w:pPr>
        <w:pStyle w:val="0"/>
        <w:jc w:val="both"/>
      </w:pPr>
      <w:r>
        <w:rPr>
          <w:sz w:val="20"/>
        </w:rPr>
        <w:t xml:space="preserve">(абзац введен </w:t>
      </w:r>
      <w:hyperlink w:history="0" r:id="rId68"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В случае выделения в инвестиционном проекте нескольких этапов строительства и (или) реконструкции объекта (объектов) кампуса значение коэффициента качества инновационной образовательной среды, направленного на стимулирование концессионера к созданию качественной инновационной образовательной среды, в том числе с применением современных технологических и архитектурных решений (К</w:t>
      </w:r>
      <w:r>
        <w:rPr>
          <w:sz w:val="20"/>
          <w:vertAlign w:val="subscript"/>
        </w:rPr>
        <w:t xml:space="preserve">КИОС</w:t>
      </w:r>
      <w:r>
        <w:rPr>
          <w:sz w:val="20"/>
        </w:rPr>
        <w:t xml:space="preserve">), используемого в методике, определяется Министерством науки и высшего образования Российской Федерации повторно при определении последней части иного межбюджетного трансферта, подлежащей перечислению на последний этап строительства и (или) реконструкции объекта (объектов) кампуса.</w:t>
      </w:r>
    </w:p>
    <w:p>
      <w:pPr>
        <w:pStyle w:val="0"/>
        <w:jc w:val="both"/>
      </w:pPr>
      <w:r>
        <w:rPr>
          <w:sz w:val="20"/>
        </w:rPr>
        <w:t xml:space="preserve">(абзац введен </w:t>
      </w:r>
      <w:hyperlink w:history="0" r:id="rId69"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10. Иные межбюджетные трансферты распределяются между субъектами Российской Федерации путем последовательного определения размера иного межбюджетного трансферта для каждого инвестиционного проекта субъекта Российской Федерации в порядке увеличения значения коэффициента обеспеченности в местах для обучающихся, педагогических, научных и других работников образовательных организаций высшего образования и (или) научных организаций для их проживания и (или) размещения в кампусе, созданном путем реализации инвестиционного проекта.</w:t>
      </w:r>
    </w:p>
    <w:p>
      <w:pPr>
        <w:pStyle w:val="0"/>
        <w:jc w:val="both"/>
      </w:pPr>
      <w:r>
        <w:rPr>
          <w:sz w:val="20"/>
        </w:rPr>
        <w:t xml:space="preserve">(в ред. </w:t>
      </w:r>
      <w:hyperlink w:history="0" r:id="rId70"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Коэффициент обеспеченности в местах для обучающихся, педагогических, научных и других работников образовательных организаций высшего образования и (или) научных организаций для их проживания и (или) размещения в кампусе, созданных путем реализации инвестиционного проекта (К</w:t>
      </w:r>
      <w:r>
        <w:rPr>
          <w:sz w:val="20"/>
          <w:vertAlign w:val="subscript"/>
        </w:rPr>
        <w:t xml:space="preserve">обесп</w:t>
      </w:r>
      <w:r>
        <w:rPr>
          <w:sz w:val="20"/>
        </w:rPr>
        <w:t xml:space="preserve">), рассчитывается по формуле:</w:t>
      </w:r>
    </w:p>
    <w:p>
      <w:pPr>
        <w:pStyle w:val="0"/>
        <w:jc w:val="both"/>
      </w:pPr>
      <w:r>
        <w:rPr>
          <w:sz w:val="20"/>
        </w:rPr>
        <w:t xml:space="preserve">(в ред. </w:t>
      </w:r>
      <w:hyperlink w:history="0" r:id="rId71"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jc w:val="both"/>
      </w:pPr>
      <w:r>
        <w:rPr>
          <w:sz w:val="20"/>
        </w:rPr>
      </w:r>
    </w:p>
    <w:p>
      <w:pPr>
        <w:pStyle w:val="0"/>
        <w:jc w:val="center"/>
      </w:pPr>
      <w:r>
        <w:rPr>
          <w:position w:val="-35"/>
        </w:rPr>
        <w:drawing>
          <wp:inline distT="0" distB="0" distL="0" distR="0">
            <wp:extent cx="2600325" cy="5810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a:extLst>
                        <a:ext uri="{28A0092B-C50C-407E-A947-70E740481C1C}">
                          <a14:useLocalDpi xmlns:a14="http://schemas.microsoft.com/office/drawing/2010/main" val="0"/>
                        </a:ext>
                      </a:extLst>
                    </a:blip>
                    <a:srcRect/>
                    <a:stretch>
                      <a:fillRect/>
                    </a:stretch>
                  </pic:blipFill>
                  <pic:spPr bwMode="auto">
                    <a:xfrm>
                      <a:off x="0" y="0"/>
                      <a:ext cx="2600325" cy="5810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position w:val="-8"/>
        </w:rPr>
        <w:drawing>
          <wp:inline distT="0" distB="0" distL="0" distR="0">
            <wp:extent cx="3333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sz w:val="20"/>
        </w:rPr>
        <w:t xml:space="preserve"> - количество мест для обучающихся, педагогических, научных и других работников образовательных организаций высшего образования и (или) научных организаций для их проживания и (или) размещения в кампусе, планируемых к созданию в i-ом субъекте Российской Федерации путем реализации инвестиционного проекта в соответствии с заявкой его инициатора, представленной в установленном порядке в Министерство науки и высшего образования Российской Федерации;</w:t>
      </w:r>
    </w:p>
    <w:p>
      <w:pPr>
        <w:pStyle w:val="0"/>
        <w:jc w:val="both"/>
      </w:pPr>
      <w:r>
        <w:rPr>
          <w:sz w:val="20"/>
        </w:rPr>
        <w:t xml:space="preserve">(в ред. </w:t>
      </w:r>
      <w:hyperlink w:history="0" r:id="rId74"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N</w:t>
      </w:r>
      <w:r>
        <w:rPr>
          <w:sz w:val="20"/>
          <w:vertAlign w:val="subscript"/>
        </w:rPr>
        <w:t xml:space="preserve">i</w:t>
      </w:r>
      <w:r>
        <w:rPr>
          <w:sz w:val="20"/>
        </w:rPr>
        <w:t xml:space="preserve"> - потребность i-го муниципального образования, либо муниципального образования и его административного центра, либо города федерального значения, либо федеральной территории, определенная Министерством науки и высшего образования Российской Федерации, в количестве новых мест для проживания и (или) размещения обучающихся, педагогических, научных и других работников образовательных организаций высшего образования и (или) научных организаций, планируемых к созданию на территории i-го муниципального образования, либо муниципального образования и его административного центра, либо города федерального значения, либо на федеральной территории, в том числе в рамках реализации федерального проекта "Создание сети современных кампусов" национального проекта "Наука и университеты", за исключением потребности, обеспеченной за счет ранее созданных объектов и (или) объектов, находящихся в стадии реализации, и (или) объектов, планируемых к созданию в рамках федерального проекта "Создание сети современных кампусов" национального проекта "Наука и университеты" на территории i-го муниципального образования, либо муниципального образования и его административного центра, либо города федерального значения, либо на федеральной территории;</w:t>
      </w:r>
    </w:p>
    <w:p>
      <w:pPr>
        <w:pStyle w:val="0"/>
        <w:jc w:val="both"/>
      </w:pPr>
      <w:r>
        <w:rPr>
          <w:sz w:val="20"/>
        </w:rPr>
        <w:t xml:space="preserve">(в ред. </w:t>
      </w:r>
      <w:hyperlink w:history="0" r:id="rId75"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К</w:t>
      </w:r>
      <w:r>
        <w:rPr>
          <w:sz w:val="20"/>
          <w:vertAlign w:val="subscript"/>
        </w:rPr>
        <w:t xml:space="preserve">ПГТ</w:t>
      </w:r>
      <w:r>
        <w:rPr>
          <w:sz w:val="20"/>
        </w:rPr>
        <w:t xml:space="preserve"> - коэффициент приоритизации инвестиционных проектов, реализуемых на территориях отдельных субъектов Российской Федерации, территории которых в соответствии со </w:t>
      </w:r>
      <w:hyperlink w:history="0" r:id="rId76" w:tooltip="Распоряжение Правительства РФ от 13.02.2019 N 207-р (ред. от 30.09.2022) &lt;Об утверждении Стратегии пространственного развития Российской Федерации на период до 2025 года&gt; {КонсультантПлюс}">
        <w:r>
          <w:rPr>
            <w:sz w:val="20"/>
            <w:color w:val="0000ff"/>
          </w:rPr>
          <w:t xml:space="preserve">Стратегией</w:t>
        </w:r>
      </w:hyperlink>
      <w:r>
        <w:rPr>
          <w:sz w:val="20"/>
        </w:rPr>
        <w:t xml:space="preserve"> пространственного развития Российской Федерации на период до 2025 года отнесены к приоритетным и приграничным геостратегическим территориям Российской Федерации, значение которого принимается равным 0,7.</w:t>
      </w:r>
    </w:p>
    <w:p>
      <w:pPr>
        <w:pStyle w:val="0"/>
        <w:spacing w:before="200" w:line-rule="auto"/>
        <w:ind w:firstLine="540"/>
        <w:jc w:val="both"/>
      </w:pPr>
      <w:r>
        <w:rPr>
          <w:sz w:val="20"/>
        </w:rPr>
        <w:t xml:space="preserve">В случае если реализация инвестиционных проектов предполагается на территориях, не отнесенных к приоритетным и приграничным геостратегическим территориям Российской Федерации, значение коэффициента К</w:t>
      </w:r>
      <w:r>
        <w:rPr>
          <w:sz w:val="20"/>
          <w:vertAlign w:val="subscript"/>
        </w:rPr>
        <w:t xml:space="preserve">ПГТ</w:t>
      </w:r>
      <w:r>
        <w:rPr>
          <w:sz w:val="20"/>
        </w:rPr>
        <w:t xml:space="preserve"> принимается равным 0;</w:t>
      </w:r>
    </w:p>
    <w:p>
      <w:pPr>
        <w:pStyle w:val="0"/>
        <w:spacing w:before="200" w:line-rule="auto"/>
        <w:ind w:firstLine="540"/>
        <w:jc w:val="both"/>
      </w:pPr>
      <w:r>
        <w:rPr>
          <w:sz w:val="20"/>
        </w:rPr>
        <w:t xml:space="preserve">К</w:t>
      </w:r>
      <w:r>
        <w:rPr>
          <w:sz w:val="20"/>
          <w:vertAlign w:val="subscript"/>
        </w:rPr>
        <w:t xml:space="preserve">КИОС</w:t>
      </w:r>
      <w:r>
        <w:rPr>
          <w:sz w:val="20"/>
        </w:rPr>
        <w:t xml:space="preserve"> - коэффициент качества инновационной образовательной среды, направленный на стимулирование концессионера к созданию качественной инновационной образовательной среды, в том числе с применением современных технологических и архитектурных решений.</w:t>
      </w:r>
    </w:p>
    <w:p>
      <w:pPr>
        <w:pStyle w:val="0"/>
        <w:jc w:val="both"/>
      </w:pPr>
      <w:r>
        <w:rPr>
          <w:sz w:val="20"/>
        </w:rPr>
        <w:t xml:space="preserve">(в ред. </w:t>
      </w:r>
      <w:hyperlink w:history="0" r:id="rId7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Значение коэффициента качества инновационной образовательной среды определяется Министерством науки и высшего образования Российской Федерации с учетом количества баллов, набранных инвестиционным проектом, рассчитанных в соответствии с </w:t>
      </w:r>
      <w:hyperlink w:history="0" w:anchor="P103" w:tooltip="МЕТОДИКА">
        <w:r>
          <w:rPr>
            <w:sz w:val="20"/>
            <w:color w:val="0000ff"/>
          </w:rPr>
          <w:t xml:space="preserve">методикой</w:t>
        </w:r>
      </w:hyperlink>
      <w:r>
        <w:rPr>
          <w:sz w:val="20"/>
        </w:rPr>
        <w:t xml:space="preserve">:</w:t>
      </w:r>
    </w:p>
    <w:p>
      <w:pPr>
        <w:pStyle w:val="0"/>
        <w:jc w:val="both"/>
      </w:pPr>
      <w:r>
        <w:rPr>
          <w:sz w:val="20"/>
        </w:rPr>
        <w:t xml:space="preserve">(в ред. </w:t>
      </w:r>
      <w:hyperlink w:history="0" r:id="rId78"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в случае если количество баллов по инвестиционному проекту менее или равно 5, то значение коэффициента К</w:t>
      </w:r>
      <w:r>
        <w:rPr>
          <w:sz w:val="20"/>
          <w:vertAlign w:val="subscript"/>
        </w:rPr>
        <w:t xml:space="preserve">КИОС</w:t>
      </w:r>
      <w:r>
        <w:rPr>
          <w:sz w:val="20"/>
        </w:rPr>
        <w:t xml:space="preserve"> принимается равным 0;</w:t>
      </w:r>
    </w:p>
    <w:p>
      <w:pPr>
        <w:pStyle w:val="0"/>
        <w:spacing w:before="200" w:line-rule="auto"/>
        <w:ind w:firstLine="540"/>
        <w:jc w:val="both"/>
      </w:pPr>
      <w:r>
        <w:rPr>
          <w:sz w:val="20"/>
        </w:rPr>
        <w:t xml:space="preserve">в случае если количество баллов по инвестиционному проекту более 5, но менее или равно 10, то значение коэффициента К</w:t>
      </w:r>
      <w:r>
        <w:rPr>
          <w:sz w:val="20"/>
          <w:vertAlign w:val="subscript"/>
        </w:rPr>
        <w:t xml:space="preserve">КИОС</w:t>
      </w:r>
      <w:r>
        <w:rPr>
          <w:sz w:val="20"/>
        </w:rPr>
        <w:t xml:space="preserve"> принимается равным 0,1;</w:t>
      </w:r>
    </w:p>
    <w:p>
      <w:pPr>
        <w:pStyle w:val="0"/>
        <w:spacing w:before="200" w:line-rule="auto"/>
        <w:ind w:firstLine="540"/>
        <w:jc w:val="both"/>
      </w:pPr>
      <w:r>
        <w:rPr>
          <w:sz w:val="20"/>
        </w:rPr>
        <w:t xml:space="preserve">в случае если количество баллов по инвестиционному проекту более 10, но менее или равно 15, то значение коэффициента К</w:t>
      </w:r>
      <w:r>
        <w:rPr>
          <w:sz w:val="20"/>
          <w:vertAlign w:val="subscript"/>
        </w:rPr>
        <w:t xml:space="preserve">КИОС</w:t>
      </w:r>
      <w:r>
        <w:rPr>
          <w:sz w:val="20"/>
        </w:rPr>
        <w:t xml:space="preserve"> принимается равным 0,2;</w:t>
      </w:r>
    </w:p>
    <w:p>
      <w:pPr>
        <w:pStyle w:val="0"/>
        <w:spacing w:before="200" w:line-rule="auto"/>
        <w:ind w:firstLine="540"/>
        <w:jc w:val="both"/>
      </w:pPr>
      <w:r>
        <w:rPr>
          <w:sz w:val="20"/>
        </w:rPr>
        <w:t xml:space="preserve">в случае если количество баллов по инвестиционному проекту более 15, то значение коэффициента К</w:t>
      </w:r>
      <w:r>
        <w:rPr>
          <w:sz w:val="20"/>
          <w:vertAlign w:val="subscript"/>
        </w:rPr>
        <w:t xml:space="preserve">КИОС</w:t>
      </w:r>
      <w:r>
        <w:rPr>
          <w:sz w:val="20"/>
        </w:rPr>
        <w:t xml:space="preserve"> принимается равным 0,3.</w:t>
      </w:r>
    </w:p>
    <w:p>
      <w:pPr>
        <w:pStyle w:val="0"/>
        <w:spacing w:before="200" w:line-rule="auto"/>
        <w:ind w:firstLine="540"/>
        <w:jc w:val="both"/>
      </w:pPr>
      <w:r>
        <w:rPr>
          <w:sz w:val="20"/>
        </w:rPr>
        <w:t xml:space="preserve">11. При заключении соглашения о предоставлении иного межбюджетного трансферта исполнительный орган субъекта Российской Федерации, уполномоченный высшим исполнительным органом субъекта Российской Федерации, представляет в Министерство науки и высшего образования Российской Федерации отчетность об исполнении условий предоставления иного межбюджетного трансферта, установленных </w:t>
      </w:r>
      <w:hyperlink w:history="0" w:anchor="P324" w:tooltip="а) наличие в субъекте Российской Федерации утвержденных в установленном порядке паспортов региональных проектов, обеспечивающих достижение целей, показателей и результатов федерального проекта &quot;Создание сети современных кампусов&quot; национального проекта &quot;Наука и университеты&quot; и включающих в том числе перечень мероприятий, в целях софинансирования которых предоставляются иные межбюджетные трансферты;">
        <w:r>
          <w:rPr>
            <w:sz w:val="20"/>
            <w:color w:val="0000ff"/>
          </w:rPr>
          <w:t xml:space="preserve">подпунктами "а"</w:t>
        </w:r>
      </w:hyperlink>
      <w:r>
        <w:rPr>
          <w:sz w:val="20"/>
        </w:rPr>
        <w:t xml:space="preserve"> и </w:t>
      </w:r>
      <w:hyperlink w:history="0" w:anchor="P327" w:tooltip="в) принятие органом государственной власти субъекта Российской Федерации решения о заключении соглашения в целях реализации инвестиционного проекта;">
        <w:r>
          <w:rPr>
            <w:sz w:val="20"/>
            <w:color w:val="0000ff"/>
          </w:rPr>
          <w:t xml:space="preserve">"в"</w:t>
        </w:r>
      </w:hyperlink>
      <w:r>
        <w:rPr>
          <w:sz w:val="20"/>
        </w:rPr>
        <w:t xml:space="preserve"> - </w:t>
      </w:r>
      <w:hyperlink w:history="0" w:anchor="P331" w:tooltip="е) наличие положительного заключения государственной экспертизы проектной документации и (или) результатов инженерных изысканий, включая проверку достоверности определения сметной стоимости строительства и (или) реконструкции объекта (объектов) кампуса, включенного (включенных) в последующие этапы строительства (реконструкции) (в случае выделения отдельных этапов строительства (реконструкции), или в отношении всех объектов кампуса;">
        <w:r>
          <w:rPr>
            <w:sz w:val="20"/>
            <w:color w:val="0000ff"/>
          </w:rPr>
          <w:t xml:space="preserve">"е" пункта 8</w:t>
        </w:r>
      </w:hyperlink>
      <w:r>
        <w:rPr>
          <w:sz w:val="20"/>
        </w:rPr>
        <w:t xml:space="preserve"> настоящих Правил.</w:t>
      </w:r>
    </w:p>
    <w:p>
      <w:pPr>
        <w:pStyle w:val="0"/>
        <w:spacing w:before="200" w:line-rule="auto"/>
        <w:ind w:firstLine="540"/>
        <w:jc w:val="both"/>
      </w:pPr>
      <w:r>
        <w:rPr>
          <w:sz w:val="20"/>
        </w:rPr>
        <w:t xml:space="preserve">Министерство науки и высшего образования Российской Федерации на основании представленной указанным уполномоченным исполнительным органом субъекта Российской Федерации отчетности об исполнении условий предоставления иного межбюджетного трансферта осуществляет контроль соблюдения субъектом Российской Федерации условий предоставления иного межбюджетного трансферта.</w:t>
      </w:r>
    </w:p>
    <w:p>
      <w:pPr>
        <w:pStyle w:val="0"/>
        <w:jc w:val="both"/>
      </w:pPr>
      <w:r>
        <w:rPr>
          <w:sz w:val="20"/>
        </w:rPr>
        <w:t xml:space="preserve">(п. 11 в ред. </w:t>
      </w:r>
      <w:hyperlink w:history="0" r:id="rId79"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12. Соглашение о предоставлении иного межбюджетного трансферта должно содержать в том числе:</w:t>
      </w:r>
    </w:p>
    <w:p>
      <w:pPr>
        <w:pStyle w:val="0"/>
        <w:spacing w:before="200" w:line-rule="auto"/>
        <w:ind w:firstLine="540"/>
        <w:jc w:val="both"/>
      </w:pPr>
      <w:r>
        <w:rPr>
          <w:sz w:val="20"/>
        </w:rPr>
        <w:t xml:space="preserve">а) право Министерства науки и высшего образования Российской Федерации и Министерства строительства и жилищно-коммунального хозяйства Российской Федерации на проведение проверок соблюдения условий и положений, установленных соглашением о предоставлении иного межбюджетного трансферта;</w:t>
      </w:r>
    </w:p>
    <w:p>
      <w:pPr>
        <w:pStyle w:val="0"/>
        <w:spacing w:before="200" w:line-rule="auto"/>
        <w:ind w:firstLine="540"/>
        <w:jc w:val="both"/>
      </w:pPr>
      <w:r>
        <w:rPr>
          <w:sz w:val="20"/>
        </w:rPr>
        <w:t xml:space="preserve">б) утратил силу. - </w:t>
      </w:r>
      <w:hyperlink w:history="0" r:id="rId80"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w:t>
        </w:r>
      </w:hyperlink>
      <w:r>
        <w:rPr>
          <w:sz w:val="20"/>
        </w:rPr>
        <w:t xml:space="preserve"> Правительства РФ от 26.07.2023 N 1213;</w:t>
      </w:r>
    </w:p>
    <w:p>
      <w:pPr>
        <w:pStyle w:val="0"/>
        <w:spacing w:before="200" w:line-rule="auto"/>
        <w:ind w:firstLine="540"/>
        <w:jc w:val="both"/>
      </w:pPr>
      <w:r>
        <w:rPr>
          <w:sz w:val="20"/>
        </w:rPr>
        <w:t xml:space="preserve">в) условие использования экономии, образовавшейся по результатам заключения государственных контрактов на закупку товаров, работ и услуг для обеспечения государственных нужд субъекта Российской Федерации, источником обеспечения которых является иной межбюджетный трансферт, в соответствии с </w:t>
      </w:r>
      <w:hyperlink w:history="0" r:id="rId81" w:tooltip="Федеральный закон от 28.11.2018 N 457-ФЗ (ред. от 21.11.2022) &quot;О внесении изменений в Бюджетный кодекс Российской Федерации и отдельные законодательные акты Российской Федерации&quot; {КонсультантПлюс}">
        <w:r>
          <w:rPr>
            <w:sz w:val="20"/>
            <w:color w:val="0000ff"/>
          </w:rPr>
          <w:t xml:space="preserve">частью 3.1 статьи 7</w:t>
        </w:r>
      </w:hyperlink>
      <w:r>
        <w:rPr>
          <w:sz w:val="20"/>
        </w:rPr>
        <w:t xml:space="preserve"> Федерального закона от 28 ноября 2018 г. N 457-ФЗ "О внесении изменений в Бюджетный кодекс Российской Федерации и отдельные законодательные акты Российской Федерации";</w:t>
      </w:r>
    </w:p>
    <w:p>
      <w:pPr>
        <w:pStyle w:val="0"/>
        <w:spacing w:before="200" w:line-rule="auto"/>
        <w:ind w:firstLine="540"/>
        <w:jc w:val="both"/>
      </w:pPr>
      <w:r>
        <w:rPr>
          <w:sz w:val="20"/>
        </w:rPr>
        <w:t xml:space="preserve">г) сроки и формы представления отчетов о расходах бюджета субъекта Российской Федерации, в целях софинансирования которых предоставляется иной межбюджетный трансферт, а также отчетов о достижении результата предоставления иного межбюджетного трансферта.</w:t>
      </w:r>
    </w:p>
    <w:p>
      <w:pPr>
        <w:pStyle w:val="0"/>
        <w:spacing w:before="200" w:line-rule="auto"/>
        <w:ind w:firstLine="540"/>
        <w:jc w:val="both"/>
      </w:pPr>
      <w:r>
        <w:rPr>
          <w:sz w:val="20"/>
        </w:rPr>
        <w:t xml:space="preserve">12(1). В случае выделения в инвестиционном проекте этапов строительства и (или) реконструкции объекта (объектов) кампуса в соглашении о предоставлении иного межбюджетного трансферта дополнительно должны быть предусмотрены:</w:t>
      </w:r>
    </w:p>
    <w:p>
      <w:pPr>
        <w:pStyle w:val="0"/>
        <w:spacing w:before="200" w:line-rule="auto"/>
        <w:ind w:firstLine="540"/>
        <w:jc w:val="both"/>
      </w:pPr>
      <w:r>
        <w:rPr>
          <w:sz w:val="20"/>
        </w:rPr>
        <w:t xml:space="preserve">а) поэтапное перечисление иного межбюджетного трансферта в соответствии с выделяемыми этапами строительства и (или) реконструкции объекта (объектов) кампуса;</w:t>
      </w:r>
    </w:p>
    <w:p>
      <w:pPr>
        <w:pStyle w:val="0"/>
        <w:spacing w:before="200" w:line-rule="auto"/>
        <w:ind w:firstLine="540"/>
        <w:jc w:val="both"/>
      </w:pPr>
      <w:r>
        <w:rPr>
          <w:sz w:val="20"/>
        </w:rPr>
        <w:t xml:space="preserve">б) обязательство субъекта Российской Федерации представить положительное заключение государственной экспертизы проектной документации и (или) результатов инженерных изысканий в отношении каждого последующего этапа строительства и (или) реконструкции объекта (объектов) кампуса и актуализированную финансово-экономическую модель инвестиционного проекта в целях верификации общего размера иного межбюджетного трансферта и размера части иного межбюджетного трансферта, подлежащего перечислению на каждый последующий этап строительства и (или) реконструкции объекта (объектов) кампуса;</w:t>
      </w:r>
    </w:p>
    <w:p>
      <w:pPr>
        <w:pStyle w:val="0"/>
        <w:spacing w:before="200" w:line-rule="auto"/>
        <w:ind w:firstLine="540"/>
        <w:jc w:val="both"/>
      </w:pPr>
      <w:r>
        <w:rPr>
          <w:sz w:val="20"/>
        </w:rPr>
        <w:t xml:space="preserve">в) обязательство субъекта Российской Федерации инициировать внесение в соглашение о предоставлении иного межбюджетного трансферта изменений, предусматривающих пропорциональное уменьшение размера предоставляемого иного межбюджетного трансферта (части иного межбюджетного трансферта, подлежащей перечислению на последующий этап строительства и (или) реконструкции объекта (объектов) кампуса), в случае снижения стоимости строительства и (или) реконструкции объекта (объектов) кампуса (этапа строительства и (или) реконструкции объекта (объектов) кампуса) по результатам проведения государственной экспертизы сметной стоимости объекта (объектов) кампуса (этапа строительства и (или) реконструкции объекта (объектов) кампуса) в течение срока действия соглашения о предоставлении иного межбюджетного трансферта, а также условие о том, что в случае увеличения общей стоимости строительства и (или) реконструкции объекта (объектов) кампуса (этапа строительства и (или) реконструкции объекта (объектов) кампуса) по результатам разработки проектной документации, включая проверку достоверности определения сметной стоимости строительства и (или) реконструкции объекта (объектов) кампуса (этапа строительства и (или) реконструкции объекта (объектов) кампуса), общий объем иного межбюджетного трансферта увеличению не подлежит;</w:t>
      </w:r>
    </w:p>
    <w:p>
      <w:pPr>
        <w:pStyle w:val="0"/>
        <w:spacing w:before="200" w:line-rule="auto"/>
        <w:ind w:firstLine="540"/>
        <w:jc w:val="both"/>
      </w:pPr>
      <w:r>
        <w:rPr>
          <w:sz w:val="20"/>
        </w:rPr>
        <w:t xml:space="preserve">г) право Министерства науки и высшего образования Российской Федерации на уменьшение размера предоставляемого иного межбюджетного трансферта в случае, если при расчете значения коэффициента качества инновационной образовательной среды, направленного на стимулирование концессионера к созданию качественной инновационной образовательной среды, в том числе с применением современных технологических и архитектурных решений (К</w:t>
      </w:r>
      <w:r>
        <w:rPr>
          <w:sz w:val="20"/>
          <w:vertAlign w:val="subscript"/>
        </w:rPr>
        <w:t xml:space="preserve">КИОС</w:t>
      </w:r>
      <w:r>
        <w:rPr>
          <w:sz w:val="20"/>
        </w:rPr>
        <w:t xml:space="preserve">), в соответствии с методикой при определении последней части иного межбюджетного трансферта, подлежащей перечислению на последний этап строительства (реконструкции) объекта (объектов) кампуса, количество баллов по инвестиционному проекту менее значения, определенного Министерством науки и высшего образования Российской Федерации при проведении отбора для предоставления иного межбюджетного трансферта;</w:t>
      </w:r>
    </w:p>
    <w:p>
      <w:pPr>
        <w:pStyle w:val="0"/>
        <w:spacing w:before="200" w:line-rule="auto"/>
        <w:ind w:firstLine="540"/>
        <w:jc w:val="both"/>
      </w:pPr>
      <w:r>
        <w:rPr>
          <w:sz w:val="20"/>
        </w:rPr>
        <w:t xml:space="preserve">д) сроки и формы представления отчетов о расходах бюджета субъекта Российской Федерации, в целях софинансирования которых предоставляется иной межбюджетный трансферт, а также отчетов о достижении результата предоставления иного межбюджетного трансферта по итогам каждого этапа строительства и (или) реконструкции объекта (объектов) кампуса.</w:t>
      </w:r>
    </w:p>
    <w:p>
      <w:pPr>
        <w:pStyle w:val="0"/>
        <w:jc w:val="both"/>
      </w:pPr>
      <w:r>
        <w:rPr>
          <w:sz w:val="20"/>
        </w:rPr>
        <w:t xml:space="preserve">(п. 12(1) введен </w:t>
      </w:r>
      <w:hyperlink w:history="0" r:id="rId82"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12(2). В случае выделения в инвестиционном проекте этапов строительства и (или) реконструкции объекта (объектов) кампуса для перечисления средств иного межбюджетного трансферта для второго и последующих этапов строительства и (или) реконструкции объекта (объектов) кампуса исполнительный орган субъекта Российской Федерации, уполномоченный высшим исполнительным органом субъекта Российской Федерации, представляет:</w:t>
      </w:r>
    </w:p>
    <w:p>
      <w:pPr>
        <w:pStyle w:val="0"/>
        <w:spacing w:before="200" w:line-rule="auto"/>
        <w:ind w:firstLine="540"/>
        <w:jc w:val="both"/>
      </w:pPr>
      <w:r>
        <w:rPr>
          <w:sz w:val="20"/>
        </w:rPr>
        <w:t xml:space="preserve">а) положительное заключение государственной экспертизы проектной документации и (или) результатов инженерных изысканий в отношении соответствующего этапа строительства и (или) реконструкции объекта (объектов) кампуса;</w:t>
      </w:r>
    </w:p>
    <w:p>
      <w:pPr>
        <w:pStyle w:val="0"/>
        <w:spacing w:before="200" w:line-rule="auto"/>
        <w:ind w:firstLine="540"/>
        <w:jc w:val="both"/>
      </w:pPr>
      <w:r>
        <w:rPr>
          <w:sz w:val="20"/>
        </w:rPr>
        <w:t xml:space="preserve">б) актуализированную финансово-экономическую модель инвестиционного проекта.</w:t>
      </w:r>
    </w:p>
    <w:p>
      <w:pPr>
        <w:pStyle w:val="0"/>
        <w:jc w:val="both"/>
      </w:pPr>
      <w:r>
        <w:rPr>
          <w:sz w:val="20"/>
        </w:rPr>
        <w:t xml:space="preserve">(п. 12(2) введен </w:t>
      </w:r>
      <w:hyperlink w:history="0" r:id="rId83"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Постановлением</w:t>
        </w:r>
      </w:hyperlink>
      <w:r>
        <w:rPr>
          <w:sz w:val="20"/>
        </w:rPr>
        <w:t xml:space="preserve"> Правительства РФ от 26.07.2023 N 1213)</w:t>
      </w:r>
    </w:p>
    <w:p>
      <w:pPr>
        <w:pStyle w:val="0"/>
        <w:spacing w:before="200" w:line-rule="auto"/>
        <w:ind w:firstLine="540"/>
        <w:jc w:val="both"/>
      </w:pPr>
      <w:r>
        <w:rPr>
          <w:sz w:val="20"/>
        </w:rPr>
        <w:t xml:space="preserve">13. Результатом предоставления иного межбюджетного трансферта является количество мест для обучающихся, педагогических, научных и других работников образовательных организаций высшего образования и (или) научных организаций для их проживания и (или) размещения в кампусе, созданных путем реализации инвестиционных проектов.</w:t>
      </w:r>
    </w:p>
    <w:p>
      <w:pPr>
        <w:pStyle w:val="0"/>
        <w:spacing w:before="200" w:line-rule="auto"/>
        <w:ind w:firstLine="540"/>
        <w:jc w:val="both"/>
      </w:pPr>
      <w:r>
        <w:rPr>
          <w:sz w:val="20"/>
        </w:rPr>
        <w:t xml:space="preserve">Показателем, применяемым для оценки эффективности предоставления иного межбюджетного трансфера, является количество квадратных метров объекта (объектов) кампуса, созданных путем реализации инвестиционных проектов.</w:t>
      </w:r>
    </w:p>
    <w:p>
      <w:pPr>
        <w:pStyle w:val="0"/>
        <w:jc w:val="both"/>
      </w:pPr>
      <w:r>
        <w:rPr>
          <w:sz w:val="20"/>
        </w:rPr>
        <w:t xml:space="preserve">(п. 13 в ред. </w:t>
      </w:r>
      <w:hyperlink w:history="0" r:id="rId84"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14. Перечисление иных межбюджетных трансфертов осуществляется в установленном порядке на единые счета бюджетов, открытые финансовым органам субъектов Российской Федерации в территориальных органах Федерального казначейства.</w:t>
      </w:r>
    </w:p>
    <w:p>
      <w:pPr>
        <w:pStyle w:val="0"/>
        <w:spacing w:before="200" w:line-rule="auto"/>
        <w:ind w:firstLine="540"/>
        <w:jc w:val="both"/>
      </w:pPr>
      <w:r>
        <w:rPr>
          <w:sz w:val="20"/>
        </w:rPr>
        <w:t xml:space="preserve">15. Ответственность за достоверность представляемых Министерству науки и высшего образования Российской Федерации сведений возлагается на высший исполнительный орган субъекта Российской Федерации.</w:t>
      </w:r>
    </w:p>
    <w:p>
      <w:pPr>
        <w:pStyle w:val="0"/>
        <w:jc w:val="both"/>
      </w:pPr>
      <w:r>
        <w:rPr>
          <w:sz w:val="20"/>
        </w:rPr>
        <w:t xml:space="preserve">(в ред. </w:t>
      </w:r>
      <w:hyperlink w:history="0" r:id="rId85"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rPr>
        <w:t xml:space="preserve"> Правительства РФ от 26.07.2023 N 1213)</w:t>
      </w:r>
    </w:p>
    <w:p>
      <w:pPr>
        <w:pStyle w:val="0"/>
        <w:spacing w:before="200" w:line-rule="auto"/>
        <w:ind w:firstLine="540"/>
        <w:jc w:val="both"/>
      </w:pPr>
      <w:r>
        <w:rPr>
          <w:sz w:val="20"/>
        </w:rPr>
        <w:t xml:space="preserve">16. В случае нарушения субъектом Российской Федерации целей, установленных при предоставлении иного межбюджетного трансферта, к нему применяются бюджетные меры принуждения, предусмотренные бюджетным законодательством Российской Федерации.</w:t>
      </w:r>
    </w:p>
    <w:bookmarkStart w:id="398" w:name="P398"/>
    <w:bookmarkEnd w:id="398"/>
    <w:p>
      <w:pPr>
        <w:pStyle w:val="0"/>
        <w:spacing w:before="200" w:line-rule="auto"/>
        <w:ind w:firstLine="540"/>
        <w:jc w:val="both"/>
      </w:pPr>
      <w:r>
        <w:rPr>
          <w:sz w:val="20"/>
        </w:rPr>
        <w:t xml:space="preserve">17. В случае если субъектом Российской Федерации по состоянию на 31 декабря года достижения результата предоставления иного межбюджетного трансферта допущены нарушения обязательств по достижению результатов предоставления иных межбюджетных трансфертов и до даты представления отчетности о достижении значений результатов предоставления иного межбюджетного трансферта в соответствии с соглашением о предоставлении иных межбюджетных трансфертов в году, следующем за годом достижения результата предоставления иного межбюджетного трансферта, указанные нарушения не устранены, объем средств, подлежащий возврату из бюджета субъекта Российской Федерации в федеральный бюджет до 1 июня года, следующего за годом достижения результата предоставления иного межбюджетного трансферта (V</w:t>
      </w:r>
      <w:r>
        <w:rPr>
          <w:sz w:val="20"/>
          <w:vertAlign w:val="subscript"/>
        </w:rPr>
        <w:t xml:space="preserve">возврата</w:t>
      </w:r>
      <w:r>
        <w:rPr>
          <w:sz w:val="20"/>
        </w:rPr>
        <w:t xml:space="preserve">), рассчитывается по формуле:</w:t>
      </w:r>
    </w:p>
    <w:p>
      <w:pPr>
        <w:pStyle w:val="0"/>
        <w:jc w:val="both"/>
      </w:pPr>
      <w:r>
        <w:rPr>
          <w:sz w:val="20"/>
        </w:rPr>
      </w:r>
    </w:p>
    <w:p>
      <w:pPr>
        <w:pStyle w:val="0"/>
        <w:jc w:val="center"/>
      </w:pPr>
      <w:r>
        <w:rPr>
          <w:position w:val="-10"/>
        </w:rPr>
        <w:drawing>
          <wp:inline distT="0" distB="0" distL="0" distR="0">
            <wp:extent cx="1638300"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МБТ</w:t>
      </w:r>
      <w:r>
        <w:rPr>
          <w:sz w:val="20"/>
        </w:rPr>
        <w:t xml:space="preserve"> - размер иного межбюджетного трансферта, предоставленного бюджету субъекта Российской Федерации;</w:t>
      </w:r>
    </w:p>
    <w:p>
      <w:pPr>
        <w:pStyle w:val="0"/>
        <w:spacing w:before="200" w:line-rule="auto"/>
        <w:ind w:firstLine="540"/>
        <w:jc w:val="both"/>
      </w:pPr>
      <w:r>
        <w:rPr>
          <w:sz w:val="20"/>
        </w:rPr>
        <w:t xml:space="preserve">k - коэффициент возврата иного межбюджетного трансферта.</w:t>
      </w:r>
    </w:p>
    <w:p>
      <w:pPr>
        <w:pStyle w:val="0"/>
        <w:spacing w:before="200" w:line-rule="auto"/>
        <w:ind w:firstLine="540"/>
        <w:jc w:val="both"/>
      </w:pPr>
      <w:r>
        <w:rPr>
          <w:sz w:val="20"/>
        </w:rPr>
        <w:t xml:space="preserve">18. Коэффициент возврата иного межбюджетного трансферта (k) рассчитывается по формуле:</w:t>
      </w:r>
    </w:p>
    <w:p>
      <w:pPr>
        <w:pStyle w:val="0"/>
        <w:jc w:val="both"/>
      </w:pPr>
      <w:r>
        <w:rPr>
          <w:sz w:val="20"/>
        </w:rPr>
      </w:r>
    </w:p>
    <w:p>
      <w:pPr>
        <w:pStyle w:val="0"/>
        <w:jc w:val="center"/>
      </w:pPr>
      <w:r>
        <w:rPr>
          <w:sz w:val="20"/>
        </w:rPr>
        <w:t xml:space="preserve">k = 1 - T</w:t>
      </w:r>
      <w:r>
        <w:rPr>
          <w:sz w:val="20"/>
          <w:vertAlign w:val="subscript"/>
        </w:rPr>
        <w:t xml:space="preserve">i</w:t>
      </w:r>
      <w:r>
        <w:rPr>
          <w:sz w:val="20"/>
        </w:rPr>
        <w:t xml:space="preserve"> / S</w:t>
      </w:r>
      <w:r>
        <w:rPr>
          <w:sz w:val="20"/>
          <w:vertAlign w:val="subscript"/>
        </w:rPr>
        <w:t xml:space="preserve">i</w:t>
      </w:r>
      <w:r>
        <w:rPr>
          <w:sz w:val="20"/>
        </w:rPr>
        <w:t xml:space="preserve">,</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T</w:t>
      </w:r>
      <w:r>
        <w:rPr>
          <w:sz w:val="20"/>
          <w:vertAlign w:val="subscript"/>
        </w:rPr>
        <w:t xml:space="preserve">i</w:t>
      </w:r>
      <w:r>
        <w:rPr>
          <w:sz w:val="20"/>
        </w:rPr>
        <w:t xml:space="preserve"> - фактически достигнутое значение результата предоставления иного межбюджетного трансферта на отчетную дату;</w:t>
      </w:r>
    </w:p>
    <w:p>
      <w:pPr>
        <w:pStyle w:val="0"/>
        <w:spacing w:before="200" w:line-rule="auto"/>
        <w:ind w:firstLine="540"/>
        <w:jc w:val="both"/>
      </w:pPr>
      <w:r>
        <w:rPr>
          <w:sz w:val="20"/>
        </w:rPr>
        <w:t xml:space="preserve">S</w:t>
      </w:r>
      <w:r>
        <w:rPr>
          <w:sz w:val="20"/>
          <w:vertAlign w:val="subscript"/>
        </w:rPr>
        <w:t xml:space="preserve">i</w:t>
      </w:r>
      <w:r>
        <w:rPr>
          <w:sz w:val="20"/>
        </w:rPr>
        <w:t xml:space="preserve"> - плановое значение результата предоставления иного межбюджетного трансферта, установленное соглашением о предоставлении иного межбюджетного трансферта.</w:t>
      </w:r>
    </w:p>
    <w:p>
      <w:pPr>
        <w:pStyle w:val="0"/>
        <w:spacing w:before="200" w:line-rule="auto"/>
        <w:ind w:firstLine="540"/>
        <w:jc w:val="both"/>
      </w:pPr>
      <w:r>
        <w:rPr>
          <w:sz w:val="20"/>
        </w:rPr>
        <w:t xml:space="preserve">19. Основанием для освобождения субъектов Российской Федерации от применения мер ответственности, предусмотренных </w:t>
      </w:r>
      <w:hyperlink w:history="0" w:anchor="P398" w:tooltip="17. В случае если субъектом Российской Федерации по состоянию на 31 декабря года достижения результата предоставления иного межбюджетного трансферта допущены нарушения обязательств по достижению результатов предоставления иных межбюджетных трансфертов и до даты представления отчетности о достижении значений результатов предоставления иного межбюджетного трансферта в соответствии с соглашением о предоставлении иных межбюджетных трансфертов в году, следующем за годом достижения результата предоставления ин...">
        <w:r>
          <w:rPr>
            <w:sz w:val="20"/>
            <w:color w:val="0000ff"/>
          </w:rPr>
          <w:t xml:space="preserve">пунктом 17</w:t>
        </w:r>
      </w:hyperlink>
      <w:r>
        <w:rPr>
          <w:sz w:val="20"/>
        </w:rPr>
        <w:t xml:space="preserve"> настоящих Правил,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а) установление регионального (межмуниципального) и (или) местного уровня реагирования на чрезвычайную ситуацию, подтвержденного правовым актом органа государственной власти субъекта Российской Федерации и (или) органа местного самоуправления;</w:t>
      </w:r>
    </w:p>
    <w:p>
      <w:pPr>
        <w:pStyle w:val="0"/>
        <w:spacing w:before="200" w:line-rule="auto"/>
        <w:ind w:firstLine="540"/>
        <w:jc w:val="both"/>
      </w:pPr>
      <w:r>
        <w:rPr>
          <w:sz w:val="20"/>
        </w:rPr>
        <w:t xml:space="preserve">б)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pPr>
        <w:pStyle w:val="0"/>
        <w:spacing w:before="200" w:line-rule="auto"/>
        <w:ind w:firstLine="540"/>
        <w:jc w:val="both"/>
      </w:pPr>
      <w:r>
        <w:rPr>
          <w:sz w:val="20"/>
        </w:rPr>
        <w:t xml:space="preserve">в) наличие вступившего в законную силу в течение срока реализации инвестиционного проекта решения арбитражного суда о признании несостоятельной (банкротом) организации, деятельность которой оказывала влияние на исполнение обязательств по достижению результатов предоставления иных межбюджетных трансфертов.</w:t>
      </w:r>
    </w:p>
    <w:p>
      <w:pPr>
        <w:pStyle w:val="0"/>
        <w:spacing w:before="200" w:line-rule="auto"/>
        <w:ind w:firstLine="540"/>
        <w:jc w:val="both"/>
      </w:pPr>
      <w:r>
        <w:rPr>
          <w:sz w:val="20"/>
        </w:rPr>
        <w:t xml:space="preserve">20. Контроль за соблюдением субъектом Российской Федерации условий предоставления иного межбюджетного трансферта осуществляется Министерством науки и высшего образования Российской Федерации и уполномоченными органами государственного финансового контроля.</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28 июля 2021 г. N 1268</w:t>
      </w:r>
    </w:p>
    <w:p>
      <w:pPr>
        <w:pStyle w:val="0"/>
        <w:jc w:val="both"/>
      </w:pPr>
      <w:r>
        <w:rPr>
          <w:sz w:val="20"/>
        </w:rPr>
      </w:r>
    </w:p>
    <w:bookmarkStart w:id="427" w:name="P427"/>
    <w:bookmarkEnd w:id="427"/>
    <w:p>
      <w:pPr>
        <w:pStyle w:val="2"/>
        <w:jc w:val="center"/>
      </w:pPr>
      <w:r>
        <w:rPr>
          <w:sz w:val="20"/>
        </w:rPr>
        <w:t xml:space="preserve">ПЕРЕЧЕНЬ</w:t>
      </w:r>
    </w:p>
    <w:p>
      <w:pPr>
        <w:pStyle w:val="2"/>
        <w:jc w:val="center"/>
      </w:pPr>
      <w:r>
        <w:rPr>
          <w:sz w:val="20"/>
        </w:rPr>
        <w:t xml:space="preserve">ФУНКЦИЙ АГЕНТА ПРАВИТЕЛЬСТВА РОССИЙСКОЙ ФЕДЕРАЦИИ,</w:t>
      </w:r>
    </w:p>
    <w:p>
      <w:pPr>
        <w:pStyle w:val="2"/>
        <w:jc w:val="center"/>
      </w:pPr>
      <w:r>
        <w:rPr>
          <w:sz w:val="20"/>
        </w:rPr>
        <w:t xml:space="preserve">ОСУЩЕСТВЛЯЕМЫХ ГОСУДАРСТВЕННОЙ КОРПОРАЦИЕЙ РАЗВИТИЯ "ВЭБ.РФ"</w:t>
      </w:r>
    </w:p>
    <w:p>
      <w:pPr>
        <w:pStyle w:val="2"/>
        <w:jc w:val="center"/>
      </w:pPr>
      <w:r>
        <w:rPr>
          <w:sz w:val="20"/>
        </w:rPr>
        <w:t xml:space="preserve">ПО ВОПРОСАМ РЕАЛИЗАЦИИ ПРОЕКТА ПО СОЗДАНИЮ ИННОВАЦИОННОЙ</w:t>
      </w:r>
    </w:p>
    <w:p>
      <w:pPr>
        <w:pStyle w:val="2"/>
        <w:jc w:val="center"/>
      </w:pPr>
      <w:r>
        <w:rPr>
          <w:sz w:val="20"/>
        </w:rPr>
        <w:t xml:space="preserve">ОБРАЗОВАТЕЛЬНОЙ СРЕДЫ (КАМПУСОВ) С ПРИМЕНЕНИЕМ МЕХАНИЗМА</w:t>
      </w:r>
    </w:p>
    <w:p>
      <w:pPr>
        <w:pStyle w:val="2"/>
        <w:jc w:val="center"/>
      </w:pPr>
      <w:r>
        <w:rPr>
          <w:sz w:val="20"/>
        </w:rPr>
        <w:t xml:space="preserve">КОНЦЕССИОННЫХ СОГЛАШЕНИЙ В РАМКАХ ФЕДЕРАЛЬНОГО ПРОЕКТА</w:t>
      </w:r>
    </w:p>
    <w:p>
      <w:pPr>
        <w:pStyle w:val="2"/>
        <w:jc w:val="center"/>
      </w:pPr>
      <w:r>
        <w:rPr>
          <w:sz w:val="20"/>
        </w:rPr>
        <w:t xml:space="preserve">"СОЗДАНИЕ СЕТИ СОВРЕМЕННЫХ КАМПУСОВ" НАЦИОНАЛЬНОГО</w:t>
      </w:r>
    </w:p>
    <w:p>
      <w:pPr>
        <w:pStyle w:val="2"/>
        <w:jc w:val="center"/>
      </w:pPr>
      <w:r>
        <w:rPr>
          <w:sz w:val="20"/>
        </w:rPr>
        <w:t xml:space="preserve">ПРОЕКТА "НАУКА И УНИВЕРСИТЕТЫ"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87" w:tooltip="Постановление Правительства РФ от 26.07.2023 N 1213 &quot;О внесении изменений в постановление Правительства Российской Федерации от 28 июля 2021 г. N 1268&quot; {КонсультантПлюс}">
              <w:r>
                <w:rPr>
                  <w:sz w:val="20"/>
                  <w:color w:val="0000ff"/>
                </w:rPr>
                <w:t xml:space="preserve">Постановления</w:t>
              </w:r>
            </w:hyperlink>
            <w:r>
              <w:rPr>
                <w:sz w:val="20"/>
                <w:color w:val="392c69"/>
              </w:rPr>
              <w:t xml:space="preserve"> Правительства РФ от 26.07.2023 N 1213)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Предварительное рассмотрение заявки субъекта Российской Федерации на предоставление иных межбюджетных трансфертов и прилагаемых к ней документов, проверка их комплектности и соответствия требованиям, установленным </w:t>
      </w:r>
      <w:hyperlink w:history="0" w:anchor="P297" w:tooltip="ПРАВИЛА">
        <w:r>
          <w:rPr>
            <w:sz w:val="20"/>
            <w:color w:val="0000ff"/>
          </w:rPr>
          <w:t xml:space="preserve">Правилами</w:t>
        </w:r>
      </w:hyperlink>
      <w:r>
        <w:rPr>
          <w:sz w:val="20"/>
        </w:rPr>
        <w:t xml:space="preserve">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инвестиционных проектов по созданию кампусов, утвержденными постановлением Правительства Российской Федерации от 28 июля 2021 г. N 1268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spacing w:before="200" w:line-rule="auto"/>
        <w:ind w:firstLine="540"/>
        <w:jc w:val="both"/>
      </w:pPr>
      <w:r>
        <w:rPr>
          <w:sz w:val="20"/>
        </w:rPr>
        <w:t xml:space="preserve">2. Консультационно-методологическая, правовая и информационная поддержка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p>
      <w:pPr>
        <w:pStyle w:val="0"/>
        <w:spacing w:before="200" w:line-rule="auto"/>
        <w:ind w:firstLine="540"/>
        <w:jc w:val="both"/>
      </w:pPr>
      <w:r>
        <w:rPr>
          <w:sz w:val="20"/>
        </w:rPr>
        <w:t xml:space="preserve">3. Проведение экспертиз инвестиционных проектов, в том числе:</w:t>
      </w:r>
    </w:p>
    <w:p>
      <w:pPr>
        <w:pStyle w:val="0"/>
        <w:spacing w:before="200" w:line-rule="auto"/>
        <w:ind w:firstLine="540"/>
        <w:jc w:val="both"/>
      </w:pPr>
      <w:r>
        <w:rPr>
          <w:sz w:val="20"/>
        </w:rPr>
        <w:t xml:space="preserve">оценка бюджетной эффективности и финансовой устойчивости инвестиционного проекта с учетом мер государственной поддержки;</w:t>
      </w:r>
    </w:p>
    <w:p>
      <w:pPr>
        <w:pStyle w:val="0"/>
        <w:spacing w:before="200" w:line-rule="auto"/>
        <w:ind w:firstLine="540"/>
        <w:jc w:val="both"/>
      </w:pPr>
      <w:r>
        <w:rPr>
          <w:sz w:val="20"/>
        </w:rPr>
        <w:t xml:space="preserve">юридическая экспертиза инвестиционного проекта (анализ и представление рекомендаций в отношении проекта соглашения с приложениями, основных условий и (или) проекта прямого соглашения (соглашения о взаимодействии) с финансирующей организацией, анализ и представление рекомендаций в отношении иных документов, необходимых для заключения соглашения и привлечения финансирования для его реализации).</w:t>
      </w:r>
    </w:p>
    <w:p>
      <w:pPr>
        <w:pStyle w:val="0"/>
        <w:ind w:firstLine="54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28.07.2021 N 1268</w:t>
            <w:br/>
            <w:t>(ред. от 26.07.2023)</w:t>
            <w:br/>
            <w:t>"О реализации проекта по созданию инновационной...</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24.10.2023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66FF41F35CC7F1C3E5D9E35B74369CC0FF2086A989A3543B20B085DBFB7F5D052C97C4998478D5E519A4256C95FD81EA551E00F466019D8AP6T4O" TargetMode = "External"/>
	<Relationship Id="rId8" Type="http://schemas.openxmlformats.org/officeDocument/2006/relationships/hyperlink" Target="consultantplus://offline/ref=66FF41F35CC7F1C3E5D9E35B74369CC0FF2086A989A3543B20B085DBFB7F5D052C97C4998478D5E41EA4256C95FD81EA551E00F466019D8AP6T4O" TargetMode = "External"/>
	<Relationship Id="rId9" Type="http://schemas.openxmlformats.org/officeDocument/2006/relationships/hyperlink" Target="consultantplus://offline/ref=66FF41F35CC7F1C3E5D9E35B74369CC0FF2086A989A3543B20B085DBFB7F5D052C97C4998478D5E418A4256C95FD81EA551E00F466019D8AP6T4O" TargetMode = "External"/>
	<Relationship Id="rId10" Type="http://schemas.openxmlformats.org/officeDocument/2006/relationships/hyperlink" Target="consultantplus://offline/ref=66FF41F35CC7F1C3E5D9E35B74369CC0FF2582AF8EA3543B20B085DBFB7F5D052C97C4998478D5E41DA4256C95FD81EA551E00F466019D8AP6T4O" TargetMode = "External"/>
	<Relationship Id="rId11" Type="http://schemas.openxmlformats.org/officeDocument/2006/relationships/hyperlink" Target="consultantplus://offline/ref=66FF41F35CC7F1C3E5D9E35B74369CC0FF2086A989A3543B20B085DBFB7F5D052C97C4998478D5E41AA4256C95FD81EA551E00F466019D8AP6T4O" TargetMode = "External"/>
	<Relationship Id="rId12" Type="http://schemas.openxmlformats.org/officeDocument/2006/relationships/hyperlink" Target="consultantplus://offline/ref=66FF41F35CC7F1C3E5D9E35B74369CC0FF2086A989A3543B20B085DBFB7F5D052C97C4998478D5E41BA4256C95FD81EA551E00F466019D8AP6T4O" TargetMode = "External"/>
	<Relationship Id="rId13" Type="http://schemas.openxmlformats.org/officeDocument/2006/relationships/hyperlink" Target="consultantplus://offline/ref=66FF41F35CC7F1C3E5D9E35B74369CC0FF2086A989A3543B20B085DBFB7F5D052C97C4998478D5E415A4256C95FD81EA551E00F466019D8AP6T4O" TargetMode = "External"/>
	<Relationship Id="rId14" Type="http://schemas.openxmlformats.org/officeDocument/2006/relationships/hyperlink" Target="consultantplus://offline/ref=66FF41F35CC7F1C3E5D9E35B74369CC0FF2086A989A3543B20B085DBFB7F5D052C97C4998478D5E71EA4256C95FD81EA551E00F466019D8AP6T4O" TargetMode = "External"/>
	<Relationship Id="rId15" Type="http://schemas.openxmlformats.org/officeDocument/2006/relationships/hyperlink" Target="consultantplus://offline/ref=66FF41F35CC7F1C3E5D9E35B74369CC0FF2086A989A3543B20B085DBFB7F5D052C97C4998478D5E718A4256C95FD81EA551E00F466019D8AP6T4O" TargetMode = "External"/>
	<Relationship Id="rId16" Type="http://schemas.openxmlformats.org/officeDocument/2006/relationships/hyperlink" Target="consultantplus://offline/ref=66FF41F35CC7F1C3E5D9E35B74369CC0FF2086A989A3543B20B085DBFB7F5D052C97C4998478D5E719A4256C95FD81EA551E00F466019D8AP6T4O" TargetMode = "External"/>
	<Relationship Id="rId17" Type="http://schemas.openxmlformats.org/officeDocument/2006/relationships/hyperlink" Target="consultantplus://offline/ref=66FF41F35CC7F1C3E5D9E35B74369CC0FF2086A989A3543B20B085DBFB7F5D052C97C4998478D5E71BA4256C95FD81EA551E00F466019D8AP6T4O" TargetMode = "External"/>
	<Relationship Id="rId18" Type="http://schemas.openxmlformats.org/officeDocument/2006/relationships/hyperlink" Target="consultantplus://offline/ref=66FF41F35CC7F1C3E5D9E35B74369CC0FF2086A989A3543B20B085DBFB7F5D052C97C4998478D5E714A4256C95FD81EA551E00F466019D8AP6T4O" TargetMode = "External"/>
	<Relationship Id="rId19" Type="http://schemas.openxmlformats.org/officeDocument/2006/relationships/hyperlink" Target="consultantplus://offline/ref=66FF41F35CC7F1C3E5D9E35B74369CC0FF2084A18FAD543B20B085DBFB7F5D053E979C95867CCBE41CB1733DD3PATBO" TargetMode = "External"/>
	<Relationship Id="rId20" Type="http://schemas.openxmlformats.org/officeDocument/2006/relationships/hyperlink" Target="consultantplus://offline/ref=66FF41F35CC7F1C3E5D9E35B74369CC0FF2086A989A3543B20B085DBFB7F5D052C97C4998478D5E715A4256C95FD81EA551E00F466019D8AP6T4O" TargetMode = "External"/>
	<Relationship Id="rId21" Type="http://schemas.openxmlformats.org/officeDocument/2006/relationships/hyperlink" Target="consultantplus://offline/ref=66FF41F35CC7F1C3E5D9E35B74369CC0FF2086A989A3543B20B085DBFB7F5D052C97C4998478D5E61CA4256C95FD81EA551E00F466019D8AP6T4O" TargetMode = "External"/>
	<Relationship Id="rId22" Type="http://schemas.openxmlformats.org/officeDocument/2006/relationships/hyperlink" Target="consultantplus://offline/ref=66FF41F35CC7F1C3E5D9E35B74369CC0FF2086A989A3543B20B085DBFB7F5D052C97C4998478D5E61EA4256C95FD81EA551E00F466019D8AP6T4O" TargetMode = "External"/>
	<Relationship Id="rId23" Type="http://schemas.openxmlformats.org/officeDocument/2006/relationships/hyperlink" Target="consultantplus://offline/ref=66FF41F35CC7F1C3E5D9E35B74369CC0FF2081AB8DA8543B20B085DBFB7F5D052C97C49C8771D1EE48FE3568DCAA88F650001FF67801P9TEO" TargetMode = "External"/>
	<Relationship Id="rId24" Type="http://schemas.openxmlformats.org/officeDocument/2006/relationships/hyperlink" Target="consultantplus://offline/ref=66FF41F35CC7F1C3E5D9E35B74369CC0FF2081AB8DA8543B20B085DBFB7F5D052C97C499847BD1E218A4256C95FD81EA551E00F466019D8AP6T4O" TargetMode = "External"/>
	<Relationship Id="rId25" Type="http://schemas.openxmlformats.org/officeDocument/2006/relationships/hyperlink" Target="consultantplus://offline/ref=66FF41F35CC7F1C3E5D9E35B74369CC0FF2086A989A3543B20B085DBFB7F5D052C97C4998478D5E61FA4256C95FD81EA551E00F466019D8AP6T4O" TargetMode = "External"/>
	<Relationship Id="rId26" Type="http://schemas.openxmlformats.org/officeDocument/2006/relationships/hyperlink" Target="consultantplus://offline/ref=66FF41F35CC7F1C3E5D9E35B74369CC0FF2086A989A3543B20B085DBFB7F5D052C97C4998478D5E618A4256C95FD81EA551E00F466019D8AP6T4O" TargetMode = "External"/>
	<Relationship Id="rId27" Type="http://schemas.openxmlformats.org/officeDocument/2006/relationships/hyperlink" Target="consultantplus://offline/ref=66FF41F35CC7F1C3E5D9E35B74369CC0FF2086A989A3543B20B085DBFB7F5D052C97C4998478D5E619A4256C95FD81EA551E00F466019D8AP6T4O" TargetMode = "External"/>
	<Relationship Id="rId28" Type="http://schemas.openxmlformats.org/officeDocument/2006/relationships/hyperlink" Target="consultantplus://offline/ref=66FF41F35CC7F1C3E5D9E35B74369CC0FF2086A989A3543B20B085DBFB7F5D052C97C4998478D5E61BA4256C95FD81EA551E00F466019D8AP6T4O" TargetMode = "External"/>
	<Relationship Id="rId29" Type="http://schemas.openxmlformats.org/officeDocument/2006/relationships/hyperlink" Target="consultantplus://offline/ref=66FF41F35CC7F1C3E5D9E35B74369CC0FF2086A989A3543B20B085DBFB7F5D052C97C4998478D5E614A4256C95FD81EA551E00F466019D8AP6T4O" TargetMode = "External"/>
	<Relationship Id="rId30" Type="http://schemas.openxmlformats.org/officeDocument/2006/relationships/hyperlink" Target="consultantplus://offline/ref=66FF41F35CC7F1C3E5D9E35B74369CC0FF2086A989A3543B20B085DBFB7F5D052C97C4998478D5E615A4256C95FD81EA551E00F466019D8AP6T4O" TargetMode = "External"/>
	<Relationship Id="rId31" Type="http://schemas.openxmlformats.org/officeDocument/2006/relationships/hyperlink" Target="consultantplus://offline/ref=66FF41F35CC7F1C3E5D9E35B74369CC0FF2086A989A3543B20B085DBFB7F5D052C97C4998478D5E11EA4256C95FD81EA551E00F466019D8AP6T4O" TargetMode = "External"/>
	<Relationship Id="rId32" Type="http://schemas.openxmlformats.org/officeDocument/2006/relationships/hyperlink" Target="consultantplus://offline/ref=66FF41F35CC7F1C3E5D9E35B74369CC0FF2086A989A3543B20B085DBFB7F5D052C97C4998478D5E118A4256C95FD81EA551E00F466019D8AP6T4O" TargetMode = "External"/>
	<Relationship Id="rId33" Type="http://schemas.openxmlformats.org/officeDocument/2006/relationships/hyperlink" Target="consultantplus://offline/ref=66FF41F35CC7F1C3E5D9E35B74369CC0FF2086A989A3543B20B085DBFB7F5D052C97C4998478D5E119A4256C95FD81EA551E00F466019D8AP6T4O" TargetMode = "External"/>
	<Relationship Id="rId34" Type="http://schemas.openxmlformats.org/officeDocument/2006/relationships/hyperlink" Target="consultantplus://offline/ref=66FF41F35CC7F1C3E5D9E35B74369CC0FF2086A989A3543B20B085DBFB7F5D052C97C4998478D5E11AA4256C95FD81EA551E00F466019D8AP6T4O" TargetMode = "External"/>
	<Relationship Id="rId35" Type="http://schemas.openxmlformats.org/officeDocument/2006/relationships/image" Target="media/image2.wmf"/>
	<Relationship Id="rId36" Type="http://schemas.openxmlformats.org/officeDocument/2006/relationships/image" Target="media/image3.wmf"/>
	<Relationship Id="rId37" Type="http://schemas.openxmlformats.org/officeDocument/2006/relationships/hyperlink" Target="consultantplus://offline/ref=66FF41F35CC7F1C3E5D9E35B74369CC0FF2086A989A3543B20B085DBFB7F5D052C97C4998478D5E11BA4256C95FD81EA551E00F466019D8AP6T4O" TargetMode = "External"/>
	<Relationship Id="rId38" Type="http://schemas.openxmlformats.org/officeDocument/2006/relationships/hyperlink" Target="consultantplus://offline/ref=66FF41F35CC7F1C3E5D9E35B74369CC0FF2086A989A3543B20B085DBFB7F5D052C97C4998478D5E114A4256C95FD81EA551E00F466019D8AP6T4O" TargetMode = "External"/>
	<Relationship Id="rId39" Type="http://schemas.openxmlformats.org/officeDocument/2006/relationships/hyperlink" Target="consultantplus://offline/ref=66FF41F35CC7F1C3E5D9E35B74369CC0FF2086A989A3543B20B085DBFB7F5D052C97C4998478D5E115A4256C95FD81EA551E00F466019D8AP6T4O" TargetMode = "External"/>
	<Relationship Id="rId40" Type="http://schemas.openxmlformats.org/officeDocument/2006/relationships/hyperlink" Target="consultantplus://offline/ref=66FF41F35CC7F1C3E5D9E35B74369CC0FF2086A989A3543B20B085DBFB7F5D052C97C4998478D5E01CA4256C95FD81EA551E00F466019D8AP6T4O" TargetMode = "External"/>
	<Relationship Id="rId41" Type="http://schemas.openxmlformats.org/officeDocument/2006/relationships/hyperlink" Target="consultantplus://offline/ref=66FF41F35CC7F1C3E5D9E35B74369CC0FF2086A989A3543B20B085DBFB7F5D052C97C4998478D5E01DA4256C95FD81EA551E00F466019D8AP6T4O" TargetMode = "External"/>
	<Relationship Id="rId42" Type="http://schemas.openxmlformats.org/officeDocument/2006/relationships/hyperlink" Target="consultantplus://offline/ref=66FF41F35CC7F1C3E5D9E35B74369CC0FF2086A989A3543B20B085DBFB7F5D052C97C4998478D5E01FA4256C95FD81EA551E00F466019D8AP6T4O" TargetMode = "External"/>
	<Relationship Id="rId43" Type="http://schemas.openxmlformats.org/officeDocument/2006/relationships/hyperlink" Target="consultantplus://offline/ref=66FF41F35CC7F1C3E5D9E35B74369CC0FF2086A989A3543B20B085DBFB7F5D052C97C4998478D5E018A4256C95FD81EA551E00F466019D8AP6T4O" TargetMode = "External"/>
	<Relationship Id="rId44" Type="http://schemas.openxmlformats.org/officeDocument/2006/relationships/image" Target="media/image4.wmf"/>
	<Relationship Id="rId45" Type="http://schemas.openxmlformats.org/officeDocument/2006/relationships/hyperlink" Target="consultantplus://offline/ref=66FF41F35CC7F1C3E5D9E35B74369CC0FF2086A989A3543B20B085DBFB7F5D052C97C4998478D5E019A4256C95FD81EA551E00F466019D8AP6T4O" TargetMode = "External"/>
	<Relationship Id="rId46" Type="http://schemas.openxmlformats.org/officeDocument/2006/relationships/hyperlink" Target="consultantplus://offline/ref=66FF41F35CC7F1C3E5D9E35B74369CC0FF2086A989A3543B20B085DBFB7F5D052C97C4998478D5E01AA4256C95FD81EA551E00F466019D8AP6T4O" TargetMode = "External"/>
	<Relationship Id="rId47" Type="http://schemas.openxmlformats.org/officeDocument/2006/relationships/hyperlink" Target="consultantplus://offline/ref=66FF41F35CC7F1C3E5D9E35B74369CC0FF2086A989A3543B20B085DBFB7F5D052C97C4998478D5E015A4256C95FD81EA551E00F466019D8AP6T4O" TargetMode = "External"/>
	<Relationship Id="rId48" Type="http://schemas.openxmlformats.org/officeDocument/2006/relationships/image" Target="media/image5.wmf"/>
	<Relationship Id="rId49" Type="http://schemas.openxmlformats.org/officeDocument/2006/relationships/hyperlink" Target="consultantplus://offline/ref=66FF41F35CC7F1C3E5D9E35B74369CC0FF2086A989A3543B20B085DBFB7F5D052C97C4998478D5E31DA4256C95FD81EA551E00F466019D8AP6T4O" TargetMode = "External"/>
	<Relationship Id="rId50" Type="http://schemas.openxmlformats.org/officeDocument/2006/relationships/hyperlink" Target="consultantplus://offline/ref=66FF41F35CC7F1C3E5D9E35B74369CC0FF2086A989A3543B20B085DBFB7F5D052C97C4998478D5E31EA4256C95FD81EA551E00F466019D8AP6T4O" TargetMode = "External"/>
	<Relationship Id="rId51" Type="http://schemas.openxmlformats.org/officeDocument/2006/relationships/hyperlink" Target="consultantplus://offline/ref=66FF41F35CC7F1C3E5D9E35B74369CC0FF2086A989A3543B20B085DBFB7F5D052C97C4998478D5E31FA4256C95FD81EA551E00F466019D8AP6T4O" TargetMode = "External"/>
	<Relationship Id="rId52" Type="http://schemas.openxmlformats.org/officeDocument/2006/relationships/hyperlink" Target="consultantplus://offline/ref=66FF41F35CC7F1C3E5D9E35B74369CC0FF2086A989A3543B20B085DBFB7F5D052C97C4998478D4E119A4256C95FD81EA551E00F466019D8AP6T4O" TargetMode = "External"/>
	<Relationship Id="rId53" Type="http://schemas.openxmlformats.org/officeDocument/2006/relationships/hyperlink" Target="consultantplus://offline/ref=66FF41F35CC7F1C3E5D9E35B74369CC0FF2086A989A3543B20B085DBFB7F5D052C97C4998478D4E11AA4256C95FD81EA551E00F466019D8AP6T4O" TargetMode = "External"/>
	<Relationship Id="rId54" Type="http://schemas.openxmlformats.org/officeDocument/2006/relationships/hyperlink" Target="consultantplus://offline/ref=66FF41F35CC7F1C3E5D9E35B74369CC0FF2086A989A3543B20B085DBFB7F5D052C97C4998478D4E11BA4256C95FD81EA551E00F466019D8AP6T4O" TargetMode = "External"/>
	<Relationship Id="rId55" Type="http://schemas.openxmlformats.org/officeDocument/2006/relationships/hyperlink" Target="consultantplus://offline/ref=66FF41F35CC7F1C3E5D9E35B74369CC0FF2086A989A3543B20B085DBFB7F5D052C97C4998478D4E115A4256C95FD81EA551E00F466019D8AP6T4O" TargetMode = "External"/>
	<Relationship Id="rId56" Type="http://schemas.openxmlformats.org/officeDocument/2006/relationships/hyperlink" Target="consultantplus://offline/ref=66FF41F35CC7F1C3E5D9E35B74369CC0F82C83AD8AA3543B20B085DBFB7F5D052C97C4998478D5E518A4256C95FD81EA551E00F466019D8AP6T4O" TargetMode = "External"/>
	<Relationship Id="rId57" Type="http://schemas.openxmlformats.org/officeDocument/2006/relationships/hyperlink" Target="consultantplus://offline/ref=66FF41F35CC7F1C3E5D9E35B74369CC0FF2086A989A3543B20B085DBFB7F5D052C97C4998478D4E01CA4256C95FD81EA551E00F466019D8AP6T4O" TargetMode = "External"/>
	<Relationship Id="rId58" Type="http://schemas.openxmlformats.org/officeDocument/2006/relationships/hyperlink" Target="consultantplus://offline/ref=66FF41F35CC7F1C3E5D9E35B74369CC0FF2086A989A3543B20B085DBFB7F5D052C97C4998478D4E01EA4256C95FD81EA551E00F466019D8AP6T4O" TargetMode = "External"/>
	<Relationship Id="rId59" Type="http://schemas.openxmlformats.org/officeDocument/2006/relationships/hyperlink" Target="consultantplus://offline/ref=66FF41F35CC7F1C3E5D9E35B74369CC0FF2086A989A3543B20B085DBFB7F5D052C97C4998478D4E01FA4256C95FD81EA551E00F466019D8AP6T4O" TargetMode = "External"/>
	<Relationship Id="rId60" Type="http://schemas.openxmlformats.org/officeDocument/2006/relationships/hyperlink" Target="consultantplus://offline/ref=66FF41F35CC7F1C3E5D9E35B74369CC0FF2086A989A3543B20B085DBFB7F5D052C97C4998478D4E018A4256C95FD81EA551E00F466019D8AP6T4O" TargetMode = "External"/>
	<Relationship Id="rId61" Type="http://schemas.openxmlformats.org/officeDocument/2006/relationships/hyperlink" Target="consultantplus://offline/ref=66FF41F35CC7F1C3E5D9E35B74369CC0FF2086A989A3543B20B085DBFB7F5D052C97C4998478D4E015A4256C95FD81EA551E00F466019D8AP6T4O" TargetMode = "External"/>
	<Relationship Id="rId62" Type="http://schemas.openxmlformats.org/officeDocument/2006/relationships/hyperlink" Target="consultantplus://offline/ref=66FF41F35CC7F1C3E5D9E35B74369CC0FF2086A989A3543B20B085DBFB7F5D052C97C4998478D4E31DA4256C95FD81EA551E00F466019D8AP6T4O" TargetMode = "External"/>
	<Relationship Id="rId63" Type="http://schemas.openxmlformats.org/officeDocument/2006/relationships/hyperlink" Target="consultantplus://offline/ref=66FF41F35CC7F1C3E5D9E35B74369CC0FF2086A989A3543B20B085DBFB7F5D052C97C4998478D4E31EA4256C95FD81EA551E00F466019D8AP6T4O" TargetMode = "External"/>
	<Relationship Id="rId64" Type="http://schemas.openxmlformats.org/officeDocument/2006/relationships/hyperlink" Target="consultantplus://offline/ref=66FF41F35CC7F1C3E5D9E35B74369CC0FF2086A989A3543B20B085DBFB7F5D052C97C4998478D4E319A4256C95FD81EA551E00F466019D8AP6T4O" TargetMode = "External"/>
	<Relationship Id="rId65" Type="http://schemas.openxmlformats.org/officeDocument/2006/relationships/image" Target="media/image6.wmf"/>
	<Relationship Id="rId66" Type="http://schemas.openxmlformats.org/officeDocument/2006/relationships/hyperlink" Target="consultantplus://offline/ref=66FF41F35CC7F1C3E5D9E35B74369CC0FF2086A989A3543B20B085DBFB7F5D052C97C4998478D4E31AA4256C95FD81EA551E00F466019D8AP6T4O" TargetMode = "External"/>
	<Relationship Id="rId67" Type="http://schemas.openxmlformats.org/officeDocument/2006/relationships/hyperlink" Target="consultantplus://offline/ref=66FF41F35CC7F1C3E5D9E35B74369CC0FF2086A989A3543B20B085DBFB7F5D052C97C4998478D4E21DA4256C95FD81EA551E00F466019D8AP6T4O" TargetMode = "External"/>
	<Relationship Id="rId68" Type="http://schemas.openxmlformats.org/officeDocument/2006/relationships/hyperlink" Target="consultantplus://offline/ref=66FF41F35CC7F1C3E5D9E35B74369CC0FF2086A989A3543B20B085DBFB7F5D052C97C4998478D4E219A4256C95FD81EA551E00F466019D8AP6T4O" TargetMode = "External"/>
	<Relationship Id="rId69" Type="http://schemas.openxmlformats.org/officeDocument/2006/relationships/hyperlink" Target="consultantplus://offline/ref=66FF41F35CC7F1C3E5D9E35B74369CC0FF2086A989A3543B20B085DBFB7F5D052C97C4998478D4E21AA4256C95FD81EA551E00F466019D8AP6T4O" TargetMode = "External"/>
	<Relationship Id="rId70" Type="http://schemas.openxmlformats.org/officeDocument/2006/relationships/hyperlink" Target="consultantplus://offline/ref=66FF41F35CC7F1C3E5D9E35B74369CC0FF2086A989A3543B20B085DBFB7F5D052C97C4998478D4E214A4256C95FD81EA551E00F466019D8AP6T4O" TargetMode = "External"/>
	<Relationship Id="rId71" Type="http://schemas.openxmlformats.org/officeDocument/2006/relationships/hyperlink" Target="consultantplus://offline/ref=66FF41F35CC7F1C3E5D9E35B74369CC0FF2086A989A3543B20B085DBFB7F5D052C97C4998478D4E214A4256C95FD81EA551E00F466019D8AP6T4O" TargetMode = "External"/>
	<Relationship Id="rId72" Type="http://schemas.openxmlformats.org/officeDocument/2006/relationships/image" Target="media/image7.wmf"/>
	<Relationship Id="rId73" Type="http://schemas.openxmlformats.org/officeDocument/2006/relationships/image" Target="media/image8.wmf"/>
	<Relationship Id="rId74" Type="http://schemas.openxmlformats.org/officeDocument/2006/relationships/hyperlink" Target="consultantplus://offline/ref=66FF41F35CC7F1C3E5D9E35B74369CC0FF2086A989A3543B20B085DBFB7F5D052C97C4998478D4E214A4256C95FD81EA551E00F466019D8AP6T4O" TargetMode = "External"/>
	<Relationship Id="rId75" Type="http://schemas.openxmlformats.org/officeDocument/2006/relationships/hyperlink" Target="consultantplus://offline/ref=66FF41F35CC7F1C3E5D9E35B74369CC0FF2086A989A3543B20B085DBFB7F5D052C97C4998478D4E215A4256C95FD81EA551E00F466019D8AP6T4O" TargetMode = "External"/>
	<Relationship Id="rId76" Type="http://schemas.openxmlformats.org/officeDocument/2006/relationships/hyperlink" Target="consultantplus://offline/ref=66FF41F35CC7F1C3E5D9E35B74369CC0FF278DAB89AA543B20B085DBFB7F5D052C97C4998478D5E515A4256C95FD81EA551E00F466019D8AP6T4O" TargetMode = "External"/>
	<Relationship Id="rId77" Type="http://schemas.openxmlformats.org/officeDocument/2006/relationships/hyperlink" Target="consultantplus://offline/ref=66FF41F35CC7F1C3E5D9E35B74369CC0FF2086A989A3543B20B085DBFB7F5D052C97C4998478D4ED1DA4256C95FD81EA551E00F466019D8AP6T4O" TargetMode = "External"/>
	<Relationship Id="rId78" Type="http://schemas.openxmlformats.org/officeDocument/2006/relationships/hyperlink" Target="consultantplus://offline/ref=66FF41F35CC7F1C3E5D9E35B74369CC0FF2086A989A3543B20B085DBFB7F5D052C97C4998478D4ED1EA4256C95FD81EA551E00F466019D8AP6T4O" TargetMode = "External"/>
	<Relationship Id="rId79" Type="http://schemas.openxmlformats.org/officeDocument/2006/relationships/hyperlink" Target="consultantplus://offline/ref=66FF41F35CC7F1C3E5D9E35B74369CC0FF2086A989A3543B20B085DBFB7F5D052C97C4998478D4ED1FA4256C95FD81EA551E00F466019D8AP6T4O" TargetMode = "External"/>
	<Relationship Id="rId80" Type="http://schemas.openxmlformats.org/officeDocument/2006/relationships/hyperlink" Target="consultantplus://offline/ref=66FF41F35CC7F1C3E5D9E35B74369CC0FF2086A989A3543B20B085DBFB7F5D052C97C4998478D4ED1AA4256C95FD81EA551E00F466019D8AP6T4O" TargetMode = "External"/>
	<Relationship Id="rId81" Type="http://schemas.openxmlformats.org/officeDocument/2006/relationships/hyperlink" Target="consultantplus://offline/ref=66FF41F35CC7F1C3E5D9E35B74369CC0FF2684A180AF543B20B085DBFB7F5D052C97C4998478D5ED19A4256C95FD81EA551E00F466019D8AP6T4O" TargetMode = "External"/>
	<Relationship Id="rId82" Type="http://schemas.openxmlformats.org/officeDocument/2006/relationships/hyperlink" Target="consultantplus://offline/ref=66FF41F35CC7F1C3E5D9E35B74369CC0FF2086A989A3543B20B085DBFB7F5D052C97C4998478D4ED1BA4256C95FD81EA551E00F466019D8AP6T4O" TargetMode = "External"/>
	<Relationship Id="rId83" Type="http://schemas.openxmlformats.org/officeDocument/2006/relationships/hyperlink" Target="consultantplus://offline/ref=66FF41F35CC7F1C3E5D9E35B74369CC0FF2086A989A3543B20B085DBFB7F5D052C97C4998478D4EC18A4256C95FD81EA551E00F466019D8AP6T4O" TargetMode = "External"/>
	<Relationship Id="rId84" Type="http://schemas.openxmlformats.org/officeDocument/2006/relationships/hyperlink" Target="consultantplus://offline/ref=66FF41F35CC7F1C3E5D9E35B74369CC0FF2086A989A3543B20B085DBFB7F5D052C97C4998478D4EC1BA4256C95FD81EA551E00F466019D8AP6T4O" TargetMode = "External"/>
	<Relationship Id="rId85" Type="http://schemas.openxmlformats.org/officeDocument/2006/relationships/hyperlink" Target="consultantplus://offline/ref=66FF41F35CC7F1C3E5D9E35B74369CC0FF2086A989A3543B20B085DBFB7F5D052C97C4998478D7E51CA4256C95FD81EA551E00F466019D8AP6T4O" TargetMode = "External"/>
	<Relationship Id="rId86" Type="http://schemas.openxmlformats.org/officeDocument/2006/relationships/image" Target="media/image9.wmf"/>
	<Relationship Id="rId87" Type="http://schemas.openxmlformats.org/officeDocument/2006/relationships/hyperlink" Target="consultantplus://offline/ref=66FF41F35CC7F1C3E5D9E35B74369CC0FF2086A989A3543B20B085DBFB7F5D052C97C4998478D7E51DA4256C95FD81EA551E00F466019D8AP6T4O"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28.07.2021 N 1268
(ред. от 26.07.2023)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(вместе с "Положением о 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dc:title>
  <dcterms:created xsi:type="dcterms:W3CDTF">2023-10-24T14:19:14Z</dcterms:created>
</cp:coreProperties>
</file>